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D3" w:rsidRDefault="004766D3"/>
    <w:p w:rsidR="004766D3" w:rsidRDefault="004766D3"/>
    <w:p w:rsidR="004766D3" w:rsidRDefault="004469AA">
      <w:pPr>
        <w:jc w:val="both"/>
        <w:rPr>
          <w:rFonts w:ascii="Helvetica" w:hAnsi="Helvetica"/>
          <w:sz w:val="22"/>
          <w:lang w:val="en-GB"/>
        </w:rPr>
      </w:pPr>
      <w:r>
        <w:rPr>
          <w:rFonts w:ascii="Helvetica" w:hAnsi="Helvetica"/>
          <w:sz w:val="22"/>
        </w:rPr>
        <w:t xml:space="preserve">This </w:t>
      </w:r>
      <w:r>
        <w:rPr>
          <w:rFonts w:ascii="Helvetica" w:hAnsi="Helvetica"/>
          <w:sz w:val="22"/>
          <w:lang w:val="en-GB"/>
        </w:rPr>
        <w:t xml:space="preserve">is a legal company from Colombia, whose main social object is </w:t>
      </w:r>
      <w:proofErr w:type="gramStart"/>
      <w:r>
        <w:rPr>
          <w:rFonts w:ascii="Helvetica" w:hAnsi="Helvetica"/>
          <w:sz w:val="22"/>
          <w:lang w:val="en-GB"/>
        </w:rPr>
        <w:t>buy</w:t>
      </w:r>
      <w:proofErr w:type="gramEnd"/>
      <w:r>
        <w:rPr>
          <w:rFonts w:ascii="Helvetica" w:hAnsi="Helvetica"/>
          <w:sz w:val="22"/>
          <w:lang w:val="en-GB"/>
        </w:rPr>
        <w:t xml:space="preserve"> and sell minerals for transform, benefit them, distribute them, brokers, export or consumption.</w:t>
      </w:r>
    </w:p>
    <w:p w:rsidR="004766D3" w:rsidRDefault="004766D3"/>
    <w:p w:rsidR="004766D3" w:rsidRDefault="004766D3"/>
    <w:p w:rsidR="004766D3" w:rsidRDefault="004469AA">
      <w:pPr>
        <w:jc w:val="both"/>
        <w:rPr>
          <w:rFonts w:ascii="Helvetica" w:hAnsi="Helvetica"/>
          <w:sz w:val="22"/>
          <w:lang w:val="en-GB"/>
        </w:rPr>
      </w:pPr>
      <w:r>
        <w:t xml:space="preserve">Within </w:t>
      </w:r>
      <w:r>
        <w:rPr>
          <w:rFonts w:ascii="Helvetica" w:hAnsi="Helvetica"/>
          <w:sz w:val="22"/>
          <w:lang w:val="en-GB"/>
        </w:rPr>
        <w:t>in this opportunity offer for sell Natural Asphalt also to be called “</w:t>
      </w:r>
      <w:proofErr w:type="spellStart"/>
      <w:r>
        <w:rPr>
          <w:rFonts w:ascii="Helvetica" w:hAnsi="Helvetica"/>
          <w:sz w:val="22"/>
          <w:lang w:val="en-GB"/>
        </w:rPr>
        <w:t>Asfaltita</w:t>
      </w:r>
      <w:proofErr w:type="spellEnd"/>
      <w:r>
        <w:rPr>
          <w:rFonts w:ascii="Helvetica" w:hAnsi="Helvetica"/>
          <w:sz w:val="22"/>
          <w:lang w:val="en-GB"/>
        </w:rPr>
        <w:t xml:space="preserve">”. The Natural Asphalts are a wide range of asphalt base products found in nature. In these products we can get agglomerating for paving without distillation. Mainly fine sands impregnated for crude oil processed naturally compose it and </w:t>
      </w:r>
      <w:proofErr w:type="gramStart"/>
      <w:r>
        <w:rPr>
          <w:rFonts w:ascii="Helvetica" w:hAnsi="Helvetica"/>
          <w:sz w:val="22"/>
          <w:lang w:val="en-GB"/>
        </w:rPr>
        <w:t>it's</w:t>
      </w:r>
      <w:proofErr w:type="gramEnd"/>
      <w:r>
        <w:rPr>
          <w:rFonts w:ascii="Helvetica" w:hAnsi="Helvetica"/>
          <w:sz w:val="22"/>
          <w:lang w:val="en-GB"/>
        </w:rPr>
        <w:t xml:space="preserve"> used whit innovator technology of build in cold with technique quality and environmental protection. The “</w:t>
      </w:r>
      <w:proofErr w:type="spellStart"/>
      <w:r>
        <w:rPr>
          <w:rFonts w:ascii="Helvetica" w:hAnsi="Helvetica"/>
          <w:sz w:val="22"/>
          <w:lang w:val="en-GB"/>
        </w:rPr>
        <w:t>Asfaltita</w:t>
      </w:r>
      <w:proofErr w:type="spellEnd"/>
      <w:r>
        <w:rPr>
          <w:rFonts w:ascii="Helvetica" w:hAnsi="Helvetica"/>
          <w:sz w:val="22"/>
          <w:lang w:val="en-GB"/>
        </w:rPr>
        <w:t>” mineral have an effect as an internal reinforcing agent, improving the stability and resistance of the mixtures, reducing its thermal susceptibility. His applications are mainly related whit his features as agglutinate and mineral replacement of coal.</w:t>
      </w:r>
    </w:p>
    <w:p w:rsidR="004766D3" w:rsidRDefault="004766D3"/>
    <w:p w:rsidR="004766D3" w:rsidRDefault="004766D3"/>
    <w:p w:rsidR="004766D3" w:rsidRDefault="004766D3">
      <w:pPr>
        <w:jc w:val="both"/>
        <w:rPr>
          <w:rFonts w:ascii="Helvetica" w:hAnsi="Helvetica"/>
          <w:sz w:val="22"/>
          <w:lang w:val="en-GB"/>
        </w:rPr>
      </w:pPr>
    </w:p>
    <w:p w:rsidR="004766D3" w:rsidRDefault="004469AA">
      <w:pPr>
        <w:jc w:val="both"/>
        <w:rPr>
          <w:rFonts w:ascii="Helvetica" w:hAnsi="Helvetica"/>
          <w:b/>
          <w:sz w:val="22"/>
          <w:lang w:val="en-GB"/>
        </w:rPr>
      </w:pPr>
      <w:r>
        <w:rPr>
          <w:rFonts w:ascii="Helvetica" w:hAnsi="Helvetica"/>
          <w:b/>
          <w:sz w:val="22"/>
          <w:lang w:val="en-GB"/>
        </w:rPr>
        <w:t>USE OF “ASFALTITA”:</w:t>
      </w:r>
    </w:p>
    <w:p w:rsidR="004766D3" w:rsidRDefault="004469AA">
      <w:pPr>
        <w:pStyle w:val="ListParagraph1"/>
        <w:widowControl w:val="0"/>
        <w:numPr>
          <w:ilvl w:val="0"/>
          <w:numId w:val="1"/>
        </w:numPr>
        <w:autoSpaceDE w:val="0"/>
        <w:autoSpaceDN w:val="0"/>
        <w:adjustRightInd w:val="0"/>
        <w:jc w:val="both"/>
        <w:rPr>
          <w:rFonts w:ascii="Helvetica" w:hAnsi="Helvetica"/>
          <w:sz w:val="22"/>
          <w:lang w:val="en-GB"/>
        </w:rPr>
      </w:pPr>
      <w:r>
        <w:rPr>
          <w:rFonts w:ascii="Helvetica" w:hAnsi="Helvetica"/>
          <w:b/>
          <w:sz w:val="22"/>
          <w:lang w:val="en-GB"/>
        </w:rPr>
        <w:t xml:space="preserve">Road use or road paving: </w:t>
      </w:r>
      <w:r>
        <w:rPr>
          <w:rFonts w:ascii="Helvetica" w:hAnsi="Helvetica"/>
          <w:sz w:val="22"/>
          <w:lang w:val="en-GB"/>
        </w:rPr>
        <w:t>Incorporation of “</w:t>
      </w:r>
      <w:proofErr w:type="spellStart"/>
      <w:r>
        <w:rPr>
          <w:rFonts w:ascii="Helvetica" w:hAnsi="Helvetica"/>
          <w:sz w:val="22"/>
          <w:lang w:val="en-GB"/>
        </w:rPr>
        <w:t>Asfaltita</w:t>
      </w:r>
      <w:proofErr w:type="spellEnd"/>
      <w:r>
        <w:rPr>
          <w:rFonts w:ascii="Helvetica" w:hAnsi="Helvetica"/>
          <w:sz w:val="22"/>
          <w:lang w:val="en-GB"/>
        </w:rPr>
        <w:t>” to conventional binder asphalt, of commonly type use in mixtures hot asphalt for road paving produces significant improvements of his features.</w:t>
      </w:r>
      <w:r>
        <w:rPr>
          <w:rFonts w:ascii="Helvetica" w:hAnsi="Helvetica"/>
          <w:b/>
          <w:sz w:val="22"/>
          <w:lang w:val="en-GB"/>
        </w:rPr>
        <w:t xml:space="preserve"> </w:t>
      </w:r>
      <w:r>
        <w:rPr>
          <w:rFonts w:ascii="Helvetica" w:hAnsi="Helvetica"/>
          <w:sz w:val="22"/>
          <w:lang w:val="en-GB"/>
        </w:rPr>
        <w:t>Generate a considerable increase of viscosity of binder who is modifying at high temperature without being affected his features at down temperatures.</w:t>
      </w:r>
      <w:r>
        <w:rPr>
          <w:sz w:val="22"/>
        </w:rPr>
        <w:t xml:space="preserve"> </w:t>
      </w:r>
      <w:r>
        <w:rPr>
          <w:rFonts w:ascii="Helvetica" w:hAnsi="Helvetica"/>
          <w:sz w:val="22"/>
          <w:lang w:val="en-GB"/>
        </w:rPr>
        <w:t>Reduces rutting</w:t>
      </w:r>
    </w:p>
    <w:p w:rsidR="004766D3" w:rsidRDefault="004766D3">
      <w:pPr>
        <w:jc w:val="both"/>
        <w:rPr>
          <w:rFonts w:ascii="Helvetica" w:hAnsi="Helvetica"/>
          <w:sz w:val="22"/>
          <w:lang w:val="en-GB"/>
        </w:rPr>
      </w:pPr>
    </w:p>
    <w:p w:rsidR="004766D3" w:rsidRDefault="004469AA">
      <w:pPr>
        <w:pStyle w:val="ListParagraph1"/>
        <w:numPr>
          <w:ilvl w:val="0"/>
          <w:numId w:val="2"/>
        </w:numPr>
        <w:jc w:val="both"/>
        <w:rPr>
          <w:rFonts w:ascii="Helvetica" w:hAnsi="Helvetica"/>
          <w:b/>
          <w:sz w:val="22"/>
          <w:lang w:val="en-GB"/>
        </w:rPr>
      </w:pPr>
      <w:r>
        <w:rPr>
          <w:rFonts w:ascii="Helvetica" w:hAnsi="Helvetica"/>
          <w:b/>
          <w:sz w:val="22"/>
          <w:lang w:val="en-GB"/>
        </w:rPr>
        <w:t xml:space="preserve">Mineral replacement of coal for his calorific power. </w:t>
      </w:r>
    </w:p>
    <w:p w:rsidR="004766D3" w:rsidRDefault="004766D3">
      <w:pPr>
        <w:pStyle w:val="ListParagraph1"/>
        <w:jc w:val="both"/>
        <w:rPr>
          <w:rFonts w:ascii="Helvetica" w:hAnsi="Helvetica"/>
          <w:sz w:val="22"/>
          <w:lang w:val="en-GB"/>
        </w:rPr>
      </w:pPr>
    </w:p>
    <w:p w:rsidR="004766D3" w:rsidRDefault="004469AA">
      <w:pPr>
        <w:pStyle w:val="ListParagraph1"/>
        <w:numPr>
          <w:ilvl w:val="0"/>
          <w:numId w:val="2"/>
        </w:numPr>
        <w:jc w:val="both"/>
        <w:rPr>
          <w:rFonts w:ascii="Helvetica" w:hAnsi="Helvetica"/>
          <w:sz w:val="22"/>
          <w:lang w:val="en-GB"/>
        </w:rPr>
      </w:pPr>
      <w:r>
        <w:rPr>
          <w:rFonts w:ascii="Helvetica" w:hAnsi="Helvetica"/>
          <w:sz w:val="22"/>
          <w:lang w:val="en-GB"/>
        </w:rPr>
        <w:t>Is use as additive for:</w:t>
      </w:r>
    </w:p>
    <w:p w:rsidR="004766D3" w:rsidRDefault="004469AA">
      <w:pPr>
        <w:pStyle w:val="ListParagraph1"/>
        <w:numPr>
          <w:ilvl w:val="1"/>
          <w:numId w:val="2"/>
        </w:numPr>
        <w:jc w:val="both"/>
        <w:rPr>
          <w:rFonts w:ascii="Helvetica" w:hAnsi="Helvetica"/>
          <w:sz w:val="22"/>
          <w:lang w:val="en-GB"/>
        </w:rPr>
      </w:pPr>
      <w:r>
        <w:rPr>
          <w:rFonts w:ascii="Helvetica" w:hAnsi="Helvetica"/>
          <w:sz w:val="22"/>
          <w:lang w:val="en-GB"/>
        </w:rPr>
        <w:t xml:space="preserve">Metallurgical Foundry </w:t>
      </w:r>
    </w:p>
    <w:p w:rsidR="004766D3" w:rsidRDefault="004469AA">
      <w:pPr>
        <w:pStyle w:val="ListParagraph1"/>
        <w:numPr>
          <w:ilvl w:val="1"/>
          <w:numId w:val="2"/>
        </w:numPr>
        <w:jc w:val="both"/>
        <w:rPr>
          <w:rFonts w:ascii="Helvetica" w:hAnsi="Helvetica"/>
          <w:sz w:val="22"/>
          <w:lang w:val="en-GB"/>
        </w:rPr>
      </w:pPr>
      <w:r>
        <w:rPr>
          <w:rFonts w:ascii="Helvetica" w:hAnsi="Helvetica"/>
          <w:sz w:val="22"/>
          <w:lang w:val="en-GB"/>
        </w:rPr>
        <w:t>Cementing oil and gas wells</w:t>
      </w:r>
    </w:p>
    <w:p w:rsidR="004766D3" w:rsidRDefault="004469AA">
      <w:pPr>
        <w:pStyle w:val="ListParagraph1"/>
        <w:numPr>
          <w:ilvl w:val="1"/>
          <w:numId w:val="2"/>
        </w:numPr>
        <w:jc w:val="both"/>
        <w:rPr>
          <w:rFonts w:ascii="Helvetica" w:hAnsi="Helvetica"/>
          <w:sz w:val="22"/>
          <w:lang w:val="en-GB"/>
        </w:rPr>
      </w:pPr>
      <w:r>
        <w:rPr>
          <w:rFonts w:ascii="Helvetica" w:hAnsi="Helvetica"/>
          <w:sz w:val="22"/>
          <w:lang w:val="en-GB"/>
        </w:rPr>
        <w:t>Manufacture of veneer sheets and plates of high resistance in civil constructions</w:t>
      </w:r>
    </w:p>
    <w:p w:rsidR="004766D3" w:rsidRDefault="004469AA">
      <w:pPr>
        <w:pStyle w:val="ListParagraph1"/>
        <w:numPr>
          <w:ilvl w:val="1"/>
          <w:numId w:val="2"/>
        </w:numPr>
        <w:jc w:val="both"/>
        <w:rPr>
          <w:rFonts w:ascii="Helvetica" w:hAnsi="Helvetica"/>
          <w:sz w:val="22"/>
          <w:lang w:val="en-GB"/>
        </w:rPr>
      </w:pPr>
      <w:r>
        <w:rPr>
          <w:rFonts w:ascii="Helvetica" w:hAnsi="Helvetica"/>
          <w:sz w:val="22"/>
          <w:lang w:val="en-GB"/>
        </w:rPr>
        <w:t>Manufacture of paints, adhesives and printing inks</w:t>
      </w:r>
    </w:p>
    <w:p w:rsidR="004766D3" w:rsidRDefault="004469AA">
      <w:pPr>
        <w:pStyle w:val="ListParagraph1"/>
        <w:numPr>
          <w:ilvl w:val="1"/>
          <w:numId w:val="2"/>
        </w:numPr>
        <w:jc w:val="both"/>
        <w:rPr>
          <w:rFonts w:ascii="Helvetica" w:hAnsi="Helvetica"/>
          <w:sz w:val="22"/>
          <w:lang w:val="en-GB"/>
        </w:rPr>
      </w:pPr>
      <w:r>
        <w:rPr>
          <w:rFonts w:ascii="Helvetica" w:hAnsi="Helvetica"/>
          <w:sz w:val="22"/>
          <w:lang w:val="en-GB"/>
        </w:rPr>
        <w:t>Electrical isolation; Brake tapes; Moulded battery boxes; thermoplastics</w:t>
      </w:r>
    </w:p>
    <w:p w:rsidR="004766D3" w:rsidRDefault="004766D3">
      <w:pPr>
        <w:widowControl w:val="0"/>
        <w:autoSpaceDE w:val="0"/>
        <w:autoSpaceDN w:val="0"/>
        <w:adjustRightInd w:val="0"/>
        <w:rPr>
          <w:rFonts w:ascii="Helvetica" w:hAnsi="Helvetica"/>
          <w:sz w:val="22"/>
          <w:lang w:val="en-GB"/>
        </w:rPr>
      </w:pPr>
    </w:p>
    <w:p w:rsidR="004766D3" w:rsidRDefault="004469AA">
      <w:pPr>
        <w:rPr>
          <w:rFonts w:ascii="Helvetica" w:hAnsi="Helvetica"/>
          <w:b/>
          <w:sz w:val="22"/>
          <w:lang w:val="en-GB"/>
        </w:rPr>
      </w:pPr>
      <w:r>
        <w:rPr>
          <w:rFonts w:ascii="Helvetica" w:hAnsi="Helvetica"/>
          <w:b/>
          <w:sz w:val="22"/>
          <w:lang w:val="en-GB"/>
        </w:rPr>
        <w:t>QUANTITY OF PRODUCT AVAILABLE:</w:t>
      </w:r>
    </w:p>
    <w:p w:rsidR="004766D3" w:rsidRDefault="004766D3"/>
    <w:p w:rsidR="004766D3" w:rsidRDefault="004469AA">
      <w:pPr>
        <w:jc w:val="both"/>
        <w:rPr>
          <w:rFonts w:ascii="Helvetica" w:hAnsi="Helvetica"/>
          <w:sz w:val="22"/>
          <w:lang w:val="en-GB"/>
        </w:rPr>
      </w:pPr>
      <w:r>
        <w:rPr>
          <w:rFonts w:ascii="Helvetica" w:hAnsi="Helvetica"/>
          <w:sz w:val="22"/>
          <w:lang w:val="en-GB"/>
        </w:rPr>
        <w:t>The quantity offer of “</w:t>
      </w:r>
      <w:proofErr w:type="spellStart"/>
      <w:r>
        <w:rPr>
          <w:rFonts w:ascii="Helvetica" w:hAnsi="Helvetica"/>
          <w:sz w:val="22"/>
          <w:lang w:val="en-GB"/>
        </w:rPr>
        <w:t>Asfaltita</w:t>
      </w:r>
      <w:proofErr w:type="spellEnd"/>
      <w:r>
        <w:rPr>
          <w:rFonts w:ascii="Helvetica" w:hAnsi="Helvetica"/>
          <w:sz w:val="22"/>
          <w:lang w:val="en-GB"/>
        </w:rPr>
        <w:t>” corresponds from 20.000 tons to 100.000 metric tons monthly. Actually we have 300.000 tons extracted and available for his immediate marketing, there are in our collection point. With reference to the continuity of available of product the mining Titles have validity for 30 years and have reserve of 18.000.000 tons that its equivalent to 100.000 tons monthly by 15 years.</w:t>
      </w: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766D3">
      <w:pPr>
        <w:jc w:val="both"/>
        <w:rPr>
          <w:rFonts w:ascii="Helvetica" w:hAnsi="Helvetica"/>
          <w:sz w:val="22"/>
          <w:lang w:val="en-GB"/>
        </w:rPr>
      </w:pPr>
    </w:p>
    <w:p w:rsidR="004766D3" w:rsidRDefault="004469AA">
      <w:pPr>
        <w:jc w:val="both"/>
        <w:rPr>
          <w:rFonts w:ascii="Helvetica" w:hAnsi="Helvetica"/>
          <w:sz w:val="22"/>
          <w:lang w:val="en-GB"/>
        </w:rPr>
      </w:pPr>
      <w:r>
        <w:rPr>
          <w:rFonts w:ascii="Helvetica" w:hAnsi="Helvetica"/>
          <w:sz w:val="22"/>
          <w:lang w:val="en-GB"/>
        </w:rPr>
        <w:t>Then we allow present technical product specifications:</w:t>
      </w:r>
    </w:p>
    <w:p w:rsidR="004766D3" w:rsidRDefault="004469AA">
      <w:pPr>
        <w:jc w:val="center"/>
        <w:rPr>
          <w:rFonts w:ascii="Helvetica" w:hAnsi="Helvetica"/>
          <w:b/>
          <w:sz w:val="28"/>
          <w:lang w:val="en-GB"/>
        </w:rPr>
      </w:pPr>
      <w:r>
        <w:rPr>
          <w:rFonts w:ascii="Helvetica" w:hAnsi="Helvetica"/>
          <w:b/>
          <w:sz w:val="28"/>
          <w:lang w:val="en-GB"/>
        </w:rPr>
        <w:t>Technical Product Specifications:</w:t>
      </w:r>
    </w:p>
    <w:p w:rsidR="004766D3" w:rsidRDefault="004766D3">
      <w:pPr>
        <w:jc w:val="both"/>
        <w:rPr>
          <w:rFonts w:ascii="Helvetica" w:hAnsi="Helvetica"/>
          <w:sz w:val="22"/>
          <w:lang w:val="en-GB"/>
        </w:rPr>
      </w:pPr>
    </w:p>
    <w:p w:rsidR="004766D3" w:rsidRDefault="004469AA">
      <w:pPr>
        <w:numPr>
          <w:ilvl w:val="0"/>
          <w:numId w:val="3"/>
        </w:numPr>
        <w:jc w:val="both"/>
        <w:rPr>
          <w:rFonts w:ascii="Helvetica" w:hAnsi="Helvetica"/>
          <w:sz w:val="22"/>
          <w:lang w:val="es-CO"/>
        </w:rPr>
      </w:pPr>
      <w:r>
        <w:rPr>
          <w:rFonts w:ascii="Helvetica" w:hAnsi="Helvetica"/>
          <w:b/>
          <w:sz w:val="22"/>
          <w:lang w:val="es-CO"/>
        </w:rPr>
        <w:t xml:space="preserve">PRODUCT DESCRIPTION: </w:t>
      </w:r>
      <w:r>
        <w:rPr>
          <w:rFonts w:ascii="Helvetica" w:hAnsi="Helvetica"/>
          <w:sz w:val="22"/>
          <w:lang w:val="es-CO"/>
        </w:rPr>
        <w:t>ROAD BITUMENT OR ASFALTITA</w:t>
      </w:r>
    </w:p>
    <w:tbl>
      <w:tblPr>
        <w:tblW w:w="7168" w:type="dxa"/>
        <w:tblInd w:w="708" w:type="dxa"/>
        <w:tblLayout w:type="fixed"/>
        <w:tblCellMar>
          <w:left w:w="70" w:type="dxa"/>
          <w:right w:w="70" w:type="dxa"/>
        </w:tblCellMar>
        <w:tblLook w:val="04A0" w:firstRow="1" w:lastRow="0" w:firstColumn="1" w:lastColumn="0" w:noHBand="0" w:noVBand="1"/>
      </w:tblPr>
      <w:tblGrid>
        <w:gridCol w:w="2520"/>
        <w:gridCol w:w="4648"/>
      </w:tblGrid>
      <w:tr w:rsidR="004766D3">
        <w:trPr>
          <w:trHeight w:val="300"/>
        </w:trPr>
        <w:tc>
          <w:tcPr>
            <w:tcW w:w="2520" w:type="dxa"/>
            <w:shd w:val="clear" w:color="auto" w:fill="auto"/>
            <w:vAlign w:val="bottom"/>
          </w:tcPr>
          <w:p w:rsidR="004766D3" w:rsidRDefault="004469AA">
            <w:pPr>
              <w:jc w:val="both"/>
              <w:rPr>
                <w:rFonts w:ascii="Helvetica" w:hAnsi="Helvetica"/>
                <w:b/>
                <w:bCs/>
                <w:sz w:val="22"/>
                <w:lang w:val="en-GB"/>
              </w:rPr>
            </w:pPr>
            <w:r>
              <w:rPr>
                <w:rFonts w:ascii="Helvetica" w:hAnsi="Helvetica"/>
                <w:b/>
                <w:bCs/>
                <w:sz w:val="22"/>
                <w:lang w:val="en-GB"/>
              </w:rPr>
              <w:t>Name:</w:t>
            </w:r>
          </w:p>
        </w:tc>
        <w:tc>
          <w:tcPr>
            <w:tcW w:w="4648" w:type="dxa"/>
            <w:shd w:val="clear" w:color="auto" w:fill="auto"/>
            <w:vAlign w:val="bottom"/>
          </w:tcPr>
          <w:p w:rsidR="004766D3" w:rsidRDefault="004469AA">
            <w:pPr>
              <w:jc w:val="both"/>
              <w:rPr>
                <w:rFonts w:ascii="Helvetica" w:hAnsi="Helvetica"/>
                <w:sz w:val="22"/>
                <w:lang w:val="en-GB"/>
              </w:rPr>
            </w:pPr>
            <w:r>
              <w:rPr>
                <w:rFonts w:ascii="Helvetica" w:hAnsi="Helvetica"/>
                <w:sz w:val="22"/>
                <w:lang w:val="en-GB"/>
              </w:rPr>
              <w:t>ROAD BITUMENT OR ASFALTITA</w:t>
            </w:r>
          </w:p>
        </w:tc>
      </w:tr>
      <w:tr w:rsidR="004766D3">
        <w:trPr>
          <w:trHeight w:val="300"/>
        </w:trPr>
        <w:tc>
          <w:tcPr>
            <w:tcW w:w="2520" w:type="dxa"/>
            <w:shd w:val="clear" w:color="auto" w:fill="auto"/>
            <w:vAlign w:val="bottom"/>
          </w:tcPr>
          <w:p w:rsidR="004766D3" w:rsidRDefault="004469AA">
            <w:pPr>
              <w:jc w:val="both"/>
              <w:rPr>
                <w:rFonts w:ascii="Helvetica" w:hAnsi="Helvetica"/>
                <w:b/>
                <w:bCs/>
                <w:sz w:val="22"/>
                <w:lang w:val="en-GB"/>
              </w:rPr>
            </w:pPr>
            <w:r>
              <w:rPr>
                <w:rFonts w:ascii="Helvetica" w:hAnsi="Helvetica"/>
                <w:b/>
                <w:bCs/>
                <w:sz w:val="22"/>
                <w:lang w:val="en-GB"/>
              </w:rPr>
              <w:t xml:space="preserve">Prime Material: </w:t>
            </w:r>
          </w:p>
        </w:tc>
        <w:tc>
          <w:tcPr>
            <w:tcW w:w="4648" w:type="dxa"/>
            <w:shd w:val="clear" w:color="auto" w:fill="auto"/>
            <w:vAlign w:val="bottom"/>
          </w:tcPr>
          <w:p w:rsidR="004766D3" w:rsidRDefault="004469AA">
            <w:pPr>
              <w:jc w:val="both"/>
              <w:rPr>
                <w:rFonts w:ascii="Helvetica" w:hAnsi="Helvetica"/>
                <w:sz w:val="22"/>
                <w:lang w:val="en-GB"/>
              </w:rPr>
            </w:pPr>
            <w:r>
              <w:rPr>
                <w:rFonts w:ascii="Helvetica" w:hAnsi="Helvetica"/>
                <w:sz w:val="22"/>
                <w:lang w:val="en-GB"/>
              </w:rPr>
              <w:t>PAVEMENT MATERIALS</w:t>
            </w:r>
          </w:p>
        </w:tc>
      </w:tr>
      <w:tr w:rsidR="004766D3">
        <w:trPr>
          <w:trHeight w:val="300"/>
        </w:trPr>
        <w:tc>
          <w:tcPr>
            <w:tcW w:w="2520" w:type="dxa"/>
            <w:shd w:val="clear" w:color="auto" w:fill="auto"/>
            <w:vAlign w:val="bottom"/>
          </w:tcPr>
          <w:p w:rsidR="004766D3" w:rsidRDefault="004469AA">
            <w:pPr>
              <w:jc w:val="both"/>
              <w:rPr>
                <w:rFonts w:ascii="Helvetica" w:hAnsi="Helvetica"/>
                <w:b/>
                <w:bCs/>
                <w:sz w:val="22"/>
                <w:lang w:val="en-GB"/>
              </w:rPr>
            </w:pPr>
            <w:r>
              <w:rPr>
                <w:rFonts w:ascii="Helvetica" w:hAnsi="Helvetica"/>
                <w:b/>
                <w:bCs/>
                <w:sz w:val="22"/>
                <w:lang w:val="en-GB"/>
              </w:rPr>
              <w:t>State:</w:t>
            </w:r>
          </w:p>
        </w:tc>
        <w:tc>
          <w:tcPr>
            <w:tcW w:w="4648" w:type="dxa"/>
            <w:shd w:val="clear" w:color="auto" w:fill="auto"/>
            <w:vAlign w:val="bottom"/>
          </w:tcPr>
          <w:p w:rsidR="004766D3" w:rsidRDefault="004469AA">
            <w:pPr>
              <w:jc w:val="both"/>
              <w:rPr>
                <w:rFonts w:ascii="Helvetica" w:hAnsi="Helvetica"/>
                <w:sz w:val="22"/>
                <w:lang w:val="en-GB"/>
              </w:rPr>
            </w:pPr>
            <w:r>
              <w:rPr>
                <w:rFonts w:ascii="Helvetica" w:hAnsi="Helvetica"/>
                <w:noProof/>
                <w:sz w:val="22"/>
                <w:lang w:val="lv-LV" w:eastAsia="lv-LV"/>
              </w:rPr>
              <w:drawing>
                <wp:anchor distT="0" distB="0" distL="114300" distR="114300" simplePos="0" relativeHeight="251661312" behindDoc="0" locked="0" layoutInCell="1" allowOverlap="1">
                  <wp:simplePos x="0" y="0"/>
                  <wp:positionH relativeFrom="column">
                    <wp:posOffset>850900</wp:posOffset>
                  </wp:positionH>
                  <wp:positionV relativeFrom="paragraph">
                    <wp:posOffset>40640</wp:posOffset>
                  </wp:positionV>
                  <wp:extent cx="3270250" cy="245745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70250" cy="2457450"/>
                          </a:xfrm>
                          <a:prstGeom prst="rect">
                            <a:avLst/>
                          </a:prstGeom>
                        </pic:spPr>
                      </pic:pic>
                    </a:graphicData>
                  </a:graphic>
                </wp:anchor>
              </w:drawing>
            </w:r>
            <w:r>
              <w:rPr>
                <w:rFonts w:ascii="Helvetica" w:hAnsi="Helvetica"/>
                <w:sz w:val="22"/>
                <w:lang w:val="en-GB"/>
              </w:rPr>
              <w:t>SOLID</w:t>
            </w:r>
          </w:p>
        </w:tc>
      </w:tr>
      <w:tr w:rsidR="004766D3">
        <w:trPr>
          <w:trHeight w:val="300"/>
        </w:trPr>
        <w:tc>
          <w:tcPr>
            <w:tcW w:w="2520" w:type="dxa"/>
            <w:shd w:val="clear" w:color="auto" w:fill="auto"/>
            <w:vAlign w:val="bottom"/>
          </w:tcPr>
          <w:p w:rsidR="004766D3" w:rsidRDefault="004469AA">
            <w:pPr>
              <w:jc w:val="both"/>
              <w:rPr>
                <w:rFonts w:ascii="Helvetica" w:hAnsi="Helvetica"/>
                <w:b/>
                <w:bCs/>
                <w:sz w:val="22"/>
                <w:lang w:val="en-GB"/>
              </w:rPr>
            </w:pPr>
            <w:r>
              <w:rPr>
                <w:rFonts w:ascii="Helvetica" w:hAnsi="Helvetica"/>
                <w:b/>
                <w:bCs/>
                <w:sz w:val="22"/>
                <w:lang w:val="en-GB"/>
              </w:rPr>
              <w:t>Colour:</w:t>
            </w:r>
          </w:p>
        </w:tc>
        <w:tc>
          <w:tcPr>
            <w:tcW w:w="4648" w:type="dxa"/>
            <w:shd w:val="clear" w:color="auto" w:fill="auto"/>
            <w:vAlign w:val="bottom"/>
          </w:tcPr>
          <w:p w:rsidR="004766D3" w:rsidRDefault="004469AA">
            <w:pPr>
              <w:jc w:val="both"/>
              <w:rPr>
                <w:rFonts w:ascii="Helvetica" w:hAnsi="Helvetica"/>
                <w:sz w:val="22"/>
                <w:lang w:val="en-GB"/>
              </w:rPr>
            </w:pPr>
            <w:r>
              <w:rPr>
                <w:rFonts w:ascii="Helvetica" w:hAnsi="Helvetica"/>
                <w:sz w:val="22"/>
                <w:lang w:val="en-GB"/>
              </w:rPr>
              <w:t>BLACK</w:t>
            </w:r>
          </w:p>
        </w:tc>
      </w:tr>
      <w:tr w:rsidR="004766D3">
        <w:trPr>
          <w:trHeight w:val="300"/>
        </w:trPr>
        <w:tc>
          <w:tcPr>
            <w:tcW w:w="2520" w:type="dxa"/>
            <w:shd w:val="clear" w:color="auto" w:fill="auto"/>
            <w:vAlign w:val="bottom"/>
          </w:tcPr>
          <w:p w:rsidR="004766D3" w:rsidRDefault="004469AA">
            <w:pPr>
              <w:jc w:val="both"/>
              <w:rPr>
                <w:rFonts w:ascii="Helvetica" w:hAnsi="Helvetica"/>
                <w:b/>
                <w:bCs/>
                <w:sz w:val="22"/>
                <w:lang w:val="en-GB"/>
              </w:rPr>
            </w:pPr>
            <w:r>
              <w:rPr>
                <w:rFonts w:ascii="Helvetica" w:hAnsi="Helvetica"/>
                <w:b/>
                <w:bCs/>
                <w:sz w:val="22"/>
                <w:lang w:val="en-GB"/>
              </w:rPr>
              <w:t>Smell:</w:t>
            </w:r>
          </w:p>
        </w:tc>
        <w:tc>
          <w:tcPr>
            <w:tcW w:w="4648" w:type="dxa"/>
            <w:shd w:val="clear" w:color="auto" w:fill="auto"/>
            <w:vAlign w:val="bottom"/>
          </w:tcPr>
          <w:p w:rsidR="004766D3" w:rsidRDefault="004469AA">
            <w:pPr>
              <w:jc w:val="both"/>
              <w:rPr>
                <w:rFonts w:ascii="Helvetica" w:hAnsi="Helvetica"/>
                <w:sz w:val="22"/>
                <w:lang w:val="en-GB"/>
              </w:rPr>
            </w:pPr>
            <w:r>
              <w:rPr>
                <w:rFonts w:ascii="Helvetica" w:hAnsi="Helvetica"/>
                <w:sz w:val="22"/>
                <w:lang w:val="en-GB"/>
              </w:rPr>
              <w:t>CRUDE</w:t>
            </w:r>
          </w:p>
        </w:tc>
      </w:tr>
      <w:tr w:rsidR="004766D3">
        <w:trPr>
          <w:trHeight w:val="300"/>
        </w:trPr>
        <w:tc>
          <w:tcPr>
            <w:tcW w:w="2520" w:type="dxa"/>
            <w:shd w:val="clear" w:color="auto" w:fill="auto"/>
            <w:vAlign w:val="bottom"/>
          </w:tcPr>
          <w:p w:rsidR="004766D3" w:rsidRDefault="004469AA">
            <w:pPr>
              <w:jc w:val="both"/>
              <w:rPr>
                <w:rFonts w:ascii="Helvetica" w:hAnsi="Helvetica"/>
                <w:b/>
                <w:bCs/>
                <w:sz w:val="22"/>
                <w:lang w:val="en-GB"/>
              </w:rPr>
            </w:pPr>
            <w:r>
              <w:rPr>
                <w:rFonts w:ascii="Helvetica" w:hAnsi="Helvetica"/>
                <w:noProof/>
                <w:sz w:val="22"/>
                <w:lang w:val="lv-LV" w:eastAsia="lv-LV"/>
              </w:rPr>
              <w:drawing>
                <wp:anchor distT="0" distB="0" distL="114300" distR="114300" simplePos="0" relativeHeight="251667456" behindDoc="0" locked="0" layoutInCell="1" allowOverlap="1">
                  <wp:simplePos x="0" y="0"/>
                  <wp:positionH relativeFrom="column">
                    <wp:posOffset>-393065</wp:posOffset>
                  </wp:positionH>
                  <wp:positionV relativeFrom="paragraph">
                    <wp:posOffset>140335</wp:posOffset>
                  </wp:positionV>
                  <wp:extent cx="2691130" cy="2029460"/>
                  <wp:effectExtent l="0" t="0" r="13970" b="8890"/>
                  <wp:wrapNone/>
                  <wp:docPr id="2" name="Imagen 4" descr="C:\Users\JEFEOP~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C:\Users\JEFEOP~1\AppData\Local\Temp\FineReader11\media\image3.jpeg"/>
                          <pic:cNvPicPr>
                            <a:picLocks noChangeAspect="1" noChangeArrowheads="1"/>
                          </pic:cNvPicPr>
                        </pic:nvPicPr>
                        <pic:blipFill>
                          <a:blip r:embed="rId8">
                            <a:extLst>
                              <a:ext uri="{28A0092B-C50C-407E-A947-70E740481C1C}">
                                <a14:useLocalDpi xmlns:a14="http://schemas.microsoft.com/office/drawing/2010/main" val="0"/>
                              </a:ext>
                            </a:extLst>
                          </a:blip>
                          <a:srcRect l="2866" r="3822" b="10158"/>
                          <a:stretch>
                            <a:fillRect/>
                          </a:stretch>
                        </pic:blipFill>
                        <pic:spPr>
                          <a:xfrm>
                            <a:off x="0" y="0"/>
                            <a:ext cx="2691130" cy="2029460"/>
                          </a:xfrm>
                          <a:prstGeom prst="rect">
                            <a:avLst/>
                          </a:prstGeom>
                          <a:ln>
                            <a:noFill/>
                          </a:ln>
                          <a:effectLst>
                            <a:softEdge rad="112500"/>
                          </a:effectLst>
                        </pic:spPr>
                      </pic:pic>
                    </a:graphicData>
                  </a:graphic>
                </wp:anchor>
              </w:drawing>
            </w:r>
            <w:r>
              <w:rPr>
                <w:rFonts w:ascii="Helvetica" w:hAnsi="Helvetica"/>
                <w:b/>
                <w:bCs/>
                <w:sz w:val="22"/>
                <w:lang w:val="en-GB"/>
              </w:rPr>
              <w:t>Texture:</w:t>
            </w:r>
          </w:p>
        </w:tc>
        <w:tc>
          <w:tcPr>
            <w:tcW w:w="4648" w:type="dxa"/>
            <w:shd w:val="clear" w:color="auto" w:fill="auto"/>
            <w:vAlign w:val="bottom"/>
          </w:tcPr>
          <w:p w:rsidR="004766D3" w:rsidRDefault="004469AA">
            <w:pPr>
              <w:jc w:val="both"/>
              <w:rPr>
                <w:rFonts w:ascii="Helvetica" w:hAnsi="Helvetica"/>
                <w:sz w:val="22"/>
                <w:lang w:val="en-GB"/>
              </w:rPr>
            </w:pPr>
            <w:r>
              <w:rPr>
                <w:rFonts w:ascii="Helvetica" w:hAnsi="Helvetica"/>
                <w:sz w:val="22"/>
                <w:lang w:val="en-GB"/>
              </w:rPr>
              <w:t>STICKY</w:t>
            </w:r>
          </w:p>
        </w:tc>
      </w:tr>
    </w:tbl>
    <w:p w:rsidR="004766D3" w:rsidRDefault="004766D3"/>
    <w:p w:rsidR="004766D3" w:rsidRDefault="004766D3"/>
    <w:p w:rsidR="004766D3" w:rsidRDefault="004766D3"/>
    <w:p w:rsidR="004766D3" w:rsidRDefault="004766D3"/>
    <w:p w:rsidR="004766D3" w:rsidRDefault="004766D3"/>
    <w:p w:rsidR="004766D3" w:rsidRDefault="004766D3"/>
    <w:p w:rsidR="004766D3" w:rsidRDefault="004766D3"/>
    <w:p w:rsidR="004766D3" w:rsidRDefault="004766D3"/>
    <w:p w:rsidR="004766D3" w:rsidRDefault="004766D3"/>
    <w:p w:rsidR="004766D3" w:rsidRDefault="004766D3"/>
    <w:p w:rsidR="004766D3" w:rsidRDefault="004766D3"/>
    <w:p w:rsidR="004766D3" w:rsidRDefault="004766D3"/>
    <w:p w:rsidR="004766D3" w:rsidRDefault="004766D3"/>
    <w:p w:rsidR="004766D3" w:rsidRDefault="004469AA">
      <w:pPr>
        <w:numPr>
          <w:ilvl w:val="0"/>
          <w:numId w:val="3"/>
        </w:numPr>
        <w:jc w:val="both"/>
        <w:rPr>
          <w:rFonts w:ascii="Helvetica" w:hAnsi="Helvetica"/>
          <w:sz w:val="22"/>
          <w:lang w:val="es-CO"/>
        </w:rPr>
      </w:pPr>
      <w:r>
        <w:rPr>
          <w:rFonts w:ascii="Helvetica" w:hAnsi="Helvetica"/>
          <w:b/>
          <w:sz w:val="22"/>
          <w:lang w:val="es-CO"/>
        </w:rPr>
        <w:t>SPECIFICATIONS:</w:t>
      </w:r>
    </w:p>
    <w:p w:rsidR="004766D3" w:rsidRDefault="004469AA">
      <w:pPr>
        <w:jc w:val="both"/>
        <w:rPr>
          <w:rFonts w:ascii="Helvetica" w:hAnsi="Helvetica"/>
          <w:sz w:val="22"/>
        </w:rPr>
      </w:pPr>
      <w:r>
        <w:rPr>
          <w:rFonts w:ascii="Helvetica" w:hAnsi="Helvetica"/>
          <w:sz w:val="22"/>
        </w:rPr>
        <w:t xml:space="preserve">ROAD BITUMEN is natural asphalt composed by fine granite materials, naturally impregnate with naturally crude oil. It is classified as material with low contends of bitumen (10-13%), which has characteristics that make it similar to asphalt 80/100 that is produced by the oil refinery.  </w:t>
      </w:r>
    </w:p>
    <w:p w:rsidR="004766D3" w:rsidRDefault="004766D3"/>
    <w:p w:rsidR="004766D3" w:rsidRDefault="004766D3"/>
    <w:p w:rsidR="004766D3" w:rsidRDefault="004469AA">
      <w:pPr>
        <w:numPr>
          <w:ilvl w:val="0"/>
          <w:numId w:val="3"/>
        </w:numPr>
        <w:jc w:val="both"/>
        <w:rPr>
          <w:rFonts w:ascii="Helvetica" w:hAnsi="Helvetica"/>
          <w:sz w:val="22"/>
          <w:lang w:val="es-CO"/>
        </w:rPr>
      </w:pPr>
      <w:r>
        <w:rPr>
          <w:rFonts w:ascii="Helvetica" w:hAnsi="Helvetica"/>
          <w:b/>
          <w:sz w:val="22"/>
          <w:lang w:val="es-CO"/>
        </w:rPr>
        <w:t>COMPONENTS INFORMATION</w:t>
      </w:r>
      <w:r>
        <w:rPr>
          <w:rFonts w:ascii="Helvetica" w:hAnsi="Helvetica"/>
          <w:sz w:val="22"/>
          <w:lang w:val="es-CO"/>
        </w:rPr>
        <w:t>:</w:t>
      </w:r>
    </w:p>
    <w:p w:rsidR="004766D3" w:rsidRDefault="004766D3"/>
    <w:p w:rsidR="004766D3" w:rsidRDefault="004469AA">
      <w:pPr>
        <w:numPr>
          <w:ilvl w:val="2"/>
          <w:numId w:val="3"/>
        </w:numPr>
        <w:jc w:val="both"/>
        <w:rPr>
          <w:rFonts w:ascii="Helvetica" w:hAnsi="Helvetica"/>
          <w:sz w:val="22"/>
          <w:u w:val="single"/>
          <w:lang w:val="es-CO"/>
        </w:rPr>
      </w:pPr>
      <w:r>
        <w:rPr>
          <w:rFonts w:ascii="Helvetica" w:hAnsi="Helvetica"/>
          <w:sz w:val="22"/>
          <w:u w:val="single"/>
        </w:rPr>
        <w:t>Chemical</w:t>
      </w:r>
      <w:r>
        <w:rPr>
          <w:rFonts w:ascii="Helvetica" w:hAnsi="Helvetica"/>
          <w:sz w:val="22"/>
          <w:u w:val="single"/>
          <w:lang w:val="es-CO"/>
        </w:rPr>
        <w:t xml:space="preserve"> </w:t>
      </w:r>
      <w:proofErr w:type="spellStart"/>
      <w:r>
        <w:rPr>
          <w:rFonts w:ascii="Helvetica" w:hAnsi="Helvetica"/>
          <w:sz w:val="22"/>
          <w:u w:val="single"/>
          <w:lang w:val="es-CO"/>
        </w:rPr>
        <w:t>Description</w:t>
      </w:r>
      <w:proofErr w:type="spellEnd"/>
      <w:r>
        <w:rPr>
          <w:rFonts w:ascii="Helvetica" w:hAnsi="Helvetica"/>
          <w:sz w:val="22"/>
          <w:u w:val="single"/>
          <w:lang w:val="es-CO"/>
        </w:rPr>
        <w:t>:</w:t>
      </w:r>
    </w:p>
    <w:p w:rsidR="004766D3" w:rsidRDefault="004469AA">
      <w:pPr>
        <w:jc w:val="both"/>
        <w:rPr>
          <w:rFonts w:ascii="Helvetica" w:hAnsi="Helvetica"/>
          <w:sz w:val="22"/>
        </w:rPr>
      </w:pPr>
      <w:r>
        <w:rPr>
          <w:rFonts w:ascii="Helvetica" w:hAnsi="Helvetica"/>
          <w:sz w:val="22"/>
        </w:rPr>
        <w:t>ROAD BITUMENT, it is a mix of several paraffinic hydrocarbons, composed with low content of sulfur, nitrogen and oxygen; almost totally soluble in heterocyclic carbon disulfide and low content of soft hydrocarbons.</w:t>
      </w:r>
    </w:p>
    <w:p w:rsidR="004766D3" w:rsidRDefault="004766D3">
      <w:pPr>
        <w:jc w:val="both"/>
        <w:rPr>
          <w:rFonts w:ascii="Helvetica" w:hAnsi="Helvetica"/>
          <w:sz w:val="22"/>
        </w:rPr>
      </w:pPr>
    </w:p>
    <w:p w:rsidR="004766D3" w:rsidRDefault="004469AA">
      <w:pPr>
        <w:jc w:val="both"/>
        <w:rPr>
          <w:rFonts w:ascii="Helvetica" w:hAnsi="Helvetica"/>
          <w:sz w:val="22"/>
        </w:rPr>
      </w:pPr>
      <w:r>
        <w:rPr>
          <w:rFonts w:ascii="Helvetica" w:hAnsi="Helvetica"/>
          <w:sz w:val="22"/>
        </w:rPr>
        <w:t>The following is the chemical composition of ROAD BITUMENT (G-089-12-1) through the team IATROSCAN –TLC/IFD – analyzer MK-6 which starts as based in liquid chromatography in a fine layer (SARA) and its compared with samples of asphalt of oil refinery 60/7 and 80/100.</w:t>
      </w:r>
    </w:p>
    <w:p w:rsidR="004766D3" w:rsidRDefault="004766D3">
      <w:pPr>
        <w:jc w:val="both"/>
        <w:rPr>
          <w:rFonts w:ascii="Helvetica" w:hAnsi="Helvetica"/>
          <w:sz w:val="22"/>
          <w:lang w:val="en-GB"/>
        </w:rPr>
      </w:pPr>
    </w:p>
    <w:tbl>
      <w:tblPr>
        <w:tblW w:w="8345" w:type="dxa"/>
        <w:jc w:val="center"/>
        <w:tblInd w:w="55" w:type="dxa"/>
        <w:tblLayout w:type="fixed"/>
        <w:tblCellMar>
          <w:left w:w="70" w:type="dxa"/>
          <w:right w:w="70" w:type="dxa"/>
        </w:tblCellMar>
        <w:tblLook w:val="04A0" w:firstRow="1" w:lastRow="0" w:firstColumn="1" w:lastColumn="0" w:noHBand="0" w:noVBand="1"/>
      </w:tblPr>
      <w:tblGrid>
        <w:gridCol w:w="1388"/>
        <w:gridCol w:w="1560"/>
        <w:gridCol w:w="1417"/>
        <w:gridCol w:w="1559"/>
        <w:gridCol w:w="1701"/>
        <w:gridCol w:w="720"/>
      </w:tblGrid>
      <w:tr w:rsidR="004766D3">
        <w:trPr>
          <w:trHeight w:val="315"/>
          <w:jc w:val="center"/>
        </w:trPr>
        <w:tc>
          <w:tcPr>
            <w:tcW w:w="1388" w:type="dxa"/>
            <w:vMerge w:val="restart"/>
            <w:tcBorders>
              <w:top w:val="single" w:sz="4" w:space="0" w:color="auto"/>
              <w:left w:val="single" w:sz="4" w:space="0" w:color="auto"/>
              <w:right w:val="single" w:sz="4" w:space="0" w:color="auto"/>
            </w:tcBorders>
            <w:shd w:val="clear" w:color="000000" w:fill="FFFFFF"/>
            <w:vAlign w:val="center"/>
          </w:tcPr>
          <w:p w:rsidR="004766D3" w:rsidRDefault="004469AA">
            <w:pPr>
              <w:jc w:val="both"/>
              <w:rPr>
                <w:rFonts w:ascii="Helvetica" w:hAnsi="Helvetica"/>
                <w:b/>
                <w:bCs/>
                <w:sz w:val="20"/>
                <w:lang w:val="es-CO"/>
              </w:rPr>
            </w:pPr>
            <w:r>
              <w:rPr>
                <w:rFonts w:ascii="Helvetica" w:hAnsi="Helvetica"/>
                <w:b/>
                <w:bCs/>
                <w:sz w:val="20"/>
              </w:rPr>
              <w:lastRenderedPageBreak/>
              <w:t>Analyzed</w:t>
            </w:r>
            <w:r>
              <w:rPr>
                <w:rFonts w:ascii="Helvetica" w:hAnsi="Helvetica"/>
                <w:b/>
                <w:bCs/>
                <w:sz w:val="20"/>
                <w:lang w:val="es-ES"/>
              </w:rPr>
              <w:t xml:space="preserve"> </w:t>
            </w:r>
            <w:r>
              <w:rPr>
                <w:rFonts w:ascii="Helvetica" w:hAnsi="Helvetica"/>
                <w:b/>
                <w:bCs/>
                <w:sz w:val="20"/>
              </w:rPr>
              <w:t>Asphalt</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b/>
                <w:bCs/>
                <w:sz w:val="20"/>
                <w:lang w:val="es-CO"/>
              </w:rPr>
            </w:pPr>
            <w:r>
              <w:rPr>
                <w:rFonts w:ascii="Helvetica" w:hAnsi="Helvetica"/>
                <w:b/>
                <w:bCs/>
                <w:sz w:val="20"/>
              </w:rPr>
              <w:t>Fraction</w:t>
            </w:r>
            <w:r>
              <w:rPr>
                <w:rFonts w:ascii="Helvetica" w:hAnsi="Helvetica"/>
                <w:b/>
                <w:bCs/>
                <w:sz w:val="20"/>
                <w:lang w:val="es-ES"/>
              </w:rPr>
              <w:t xml:space="preserve"> (%)</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766D3" w:rsidRDefault="004469AA">
            <w:pPr>
              <w:jc w:val="center"/>
              <w:rPr>
                <w:rFonts w:ascii="Helvetica" w:hAnsi="Helvetica"/>
                <w:b/>
                <w:bCs/>
                <w:sz w:val="20"/>
                <w:lang w:val="es-CO"/>
              </w:rPr>
            </w:pPr>
            <w:r>
              <w:rPr>
                <w:rFonts w:ascii="Helvetica" w:hAnsi="Helvetica"/>
                <w:b/>
                <w:bCs/>
                <w:sz w:val="20"/>
                <w:lang w:val="es-ES"/>
              </w:rPr>
              <w:t>IC</w:t>
            </w:r>
          </w:p>
        </w:tc>
      </w:tr>
      <w:tr w:rsidR="004766D3">
        <w:trPr>
          <w:trHeight w:val="300"/>
          <w:jc w:val="center"/>
        </w:trPr>
        <w:tc>
          <w:tcPr>
            <w:tcW w:w="1388" w:type="dxa"/>
            <w:vMerge/>
            <w:tcBorders>
              <w:left w:val="single" w:sz="4" w:space="0" w:color="auto"/>
              <w:bottom w:val="single" w:sz="4" w:space="0" w:color="auto"/>
              <w:right w:val="single" w:sz="4" w:space="0" w:color="auto"/>
            </w:tcBorders>
            <w:shd w:val="clear" w:color="000000" w:fill="FFFFFF"/>
            <w:vAlign w:val="center"/>
          </w:tcPr>
          <w:p w:rsidR="004766D3" w:rsidRDefault="004766D3">
            <w:pPr>
              <w:jc w:val="both"/>
              <w:rPr>
                <w:rFonts w:ascii="Helvetica" w:hAnsi="Helvetica"/>
                <w:b/>
                <w:bCs/>
                <w:sz w:val="20"/>
                <w:lang w:val="es-CO"/>
              </w:rPr>
            </w:pPr>
          </w:p>
        </w:tc>
        <w:tc>
          <w:tcPr>
            <w:tcW w:w="1560"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b/>
                <w:bCs/>
                <w:sz w:val="20"/>
                <w:lang w:val="es-CO"/>
              </w:rPr>
            </w:pPr>
            <w:r>
              <w:rPr>
                <w:rFonts w:ascii="Helvetica" w:hAnsi="Helvetica"/>
                <w:b/>
                <w:bCs/>
                <w:sz w:val="20"/>
              </w:rPr>
              <w:t>Saturated</w:t>
            </w:r>
          </w:p>
        </w:tc>
        <w:tc>
          <w:tcPr>
            <w:tcW w:w="1417"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b/>
                <w:bCs/>
                <w:sz w:val="20"/>
                <w:lang w:val="es-CO"/>
              </w:rPr>
            </w:pPr>
            <w:r>
              <w:rPr>
                <w:rFonts w:ascii="Helvetica" w:hAnsi="Helvetica"/>
                <w:b/>
                <w:bCs/>
                <w:sz w:val="20"/>
              </w:rPr>
              <w:t>Aromatic</w:t>
            </w:r>
          </w:p>
        </w:tc>
        <w:tc>
          <w:tcPr>
            <w:tcW w:w="1559"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b/>
                <w:bCs/>
                <w:sz w:val="20"/>
                <w:lang w:val="es-CO"/>
              </w:rPr>
            </w:pPr>
            <w:r>
              <w:rPr>
                <w:rFonts w:ascii="Helvetica" w:hAnsi="Helvetica"/>
                <w:b/>
                <w:bCs/>
                <w:sz w:val="20"/>
                <w:lang w:val="es-ES"/>
              </w:rPr>
              <w:t>Resine</w:t>
            </w:r>
          </w:p>
        </w:tc>
        <w:tc>
          <w:tcPr>
            <w:tcW w:w="1701"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b/>
                <w:bCs/>
                <w:sz w:val="20"/>
                <w:lang w:val="es-CO"/>
              </w:rPr>
            </w:pPr>
            <w:r>
              <w:rPr>
                <w:rFonts w:ascii="Helvetica" w:hAnsi="Helvetica"/>
                <w:b/>
                <w:bCs/>
                <w:sz w:val="20"/>
              </w:rPr>
              <w:t>Asphalt</w:t>
            </w:r>
          </w:p>
        </w:tc>
        <w:tc>
          <w:tcPr>
            <w:tcW w:w="720" w:type="dxa"/>
            <w:vMerge/>
            <w:tcBorders>
              <w:top w:val="single" w:sz="4" w:space="0" w:color="auto"/>
              <w:left w:val="single" w:sz="4" w:space="0" w:color="auto"/>
              <w:bottom w:val="single" w:sz="4" w:space="0" w:color="auto"/>
              <w:right w:val="single" w:sz="4" w:space="0" w:color="auto"/>
            </w:tcBorders>
            <w:vAlign w:val="center"/>
          </w:tcPr>
          <w:p w:rsidR="004766D3" w:rsidRDefault="004766D3">
            <w:pPr>
              <w:jc w:val="both"/>
              <w:rPr>
                <w:rFonts w:ascii="Helvetica" w:hAnsi="Helvetica"/>
                <w:b/>
                <w:bCs/>
                <w:sz w:val="20"/>
                <w:lang w:val="es-CO"/>
              </w:rPr>
            </w:pPr>
          </w:p>
        </w:tc>
      </w:tr>
      <w:tr w:rsidR="004766D3">
        <w:trPr>
          <w:trHeight w:val="360"/>
          <w:jc w:val="center"/>
        </w:trPr>
        <w:tc>
          <w:tcPr>
            <w:tcW w:w="1388"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G-089-12-1</w:t>
            </w:r>
          </w:p>
        </w:tc>
        <w:tc>
          <w:tcPr>
            <w:tcW w:w="1560"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10,05 ± 0,89</w:t>
            </w:r>
          </w:p>
        </w:tc>
        <w:tc>
          <w:tcPr>
            <w:tcW w:w="1417"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24,52 ± 2,11</w:t>
            </w:r>
          </w:p>
        </w:tc>
        <w:tc>
          <w:tcPr>
            <w:tcW w:w="1559"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50,95 ± 1,08</w:t>
            </w:r>
          </w:p>
        </w:tc>
        <w:tc>
          <w:tcPr>
            <w:tcW w:w="1701"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14,48 ± 0,57</w:t>
            </w:r>
          </w:p>
        </w:tc>
        <w:tc>
          <w:tcPr>
            <w:tcW w:w="720"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0,33</w:t>
            </w:r>
          </w:p>
        </w:tc>
      </w:tr>
      <w:tr w:rsidR="004766D3">
        <w:trPr>
          <w:trHeight w:val="360"/>
          <w:jc w:val="center"/>
        </w:trPr>
        <w:tc>
          <w:tcPr>
            <w:tcW w:w="1388"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Pen 60/70</w:t>
            </w:r>
          </w:p>
        </w:tc>
        <w:tc>
          <w:tcPr>
            <w:tcW w:w="1560"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14,15 ± 0,89</w:t>
            </w:r>
          </w:p>
        </w:tc>
        <w:tc>
          <w:tcPr>
            <w:tcW w:w="1417"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59,10 ± 2,11</w:t>
            </w:r>
          </w:p>
        </w:tc>
        <w:tc>
          <w:tcPr>
            <w:tcW w:w="1559"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15,75 ± 1,08</w:t>
            </w:r>
          </w:p>
        </w:tc>
        <w:tc>
          <w:tcPr>
            <w:tcW w:w="1701"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10,98 ± 0,57</w:t>
            </w:r>
          </w:p>
        </w:tc>
        <w:tc>
          <w:tcPr>
            <w:tcW w:w="720"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0,34</w:t>
            </w:r>
          </w:p>
        </w:tc>
      </w:tr>
      <w:tr w:rsidR="004766D3">
        <w:trPr>
          <w:trHeight w:val="360"/>
          <w:jc w:val="center"/>
        </w:trPr>
        <w:tc>
          <w:tcPr>
            <w:tcW w:w="1388"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Pen 30/100</w:t>
            </w:r>
          </w:p>
        </w:tc>
        <w:tc>
          <w:tcPr>
            <w:tcW w:w="1560"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19,73 ± 0,89</w:t>
            </w:r>
          </w:p>
        </w:tc>
        <w:tc>
          <w:tcPr>
            <w:tcW w:w="1417"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46,71 ± 2,11</w:t>
            </w:r>
          </w:p>
        </w:tc>
        <w:tc>
          <w:tcPr>
            <w:tcW w:w="1559"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20,22 ± 1,08</w:t>
            </w:r>
          </w:p>
        </w:tc>
        <w:tc>
          <w:tcPr>
            <w:tcW w:w="1701"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13,34 ± 0,57</w:t>
            </w:r>
          </w:p>
        </w:tc>
        <w:tc>
          <w:tcPr>
            <w:tcW w:w="720" w:type="dxa"/>
            <w:tcBorders>
              <w:top w:val="nil"/>
              <w:left w:val="nil"/>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0,49</w:t>
            </w:r>
          </w:p>
        </w:tc>
      </w:tr>
    </w:tbl>
    <w:p w:rsidR="004766D3" w:rsidRDefault="004766D3"/>
    <w:p w:rsidR="004766D3" w:rsidRDefault="004469AA">
      <w:r>
        <w:rPr>
          <w:rFonts w:ascii="Helvetica" w:hAnsi="Helvetica"/>
          <w:noProof/>
          <w:sz w:val="22"/>
          <w:lang w:val="lv-LV" w:eastAsia="lv-LV"/>
        </w:rPr>
        <w:drawing>
          <wp:anchor distT="0" distB="0" distL="114300" distR="114300" simplePos="0" relativeHeight="251670528" behindDoc="0" locked="0" layoutInCell="1" allowOverlap="1">
            <wp:simplePos x="0" y="0"/>
            <wp:positionH relativeFrom="column">
              <wp:posOffset>1066800</wp:posOffset>
            </wp:positionH>
            <wp:positionV relativeFrom="paragraph">
              <wp:posOffset>-375920</wp:posOffset>
            </wp:positionV>
            <wp:extent cx="2467610" cy="1458595"/>
            <wp:effectExtent l="0" t="0" r="889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67610" cy="1458595"/>
                    </a:xfrm>
                    <a:prstGeom prst="rect">
                      <a:avLst/>
                    </a:prstGeom>
                  </pic:spPr>
                </pic:pic>
              </a:graphicData>
            </a:graphic>
          </wp:anchor>
        </w:drawing>
      </w:r>
    </w:p>
    <w:p w:rsidR="004766D3" w:rsidRDefault="004766D3"/>
    <w:p w:rsidR="004766D3" w:rsidRDefault="004766D3"/>
    <w:p w:rsidR="004766D3" w:rsidRDefault="004766D3"/>
    <w:p w:rsidR="004766D3" w:rsidRDefault="004766D3"/>
    <w:p w:rsidR="004766D3" w:rsidRDefault="004766D3"/>
    <w:p w:rsidR="004766D3" w:rsidRDefault="004766D3"/>
    <w:p w:rsidR="004766D3" w:rsidRDefault="004766D3"/>
    <w:p w:rsidR="004766D3" w:rsidRDefault="004469AA">
      <w:pPr>
        <w:numPr>
          <w:ilvl w:val="2"/>
          <w:numId w:val="3"/>
        </w:numPr>
        <w:ind w:left="0" w:firstLine="0"/>
        <w:jc w:val="both"/>
        <w:rPr>
          <w:rFonts w:ascii="Helvetica" w:hAnsi="Helvetica"/>
          <w:sz w:val="22"/>
          <w:u w:val="single"/>
          <w:lang w:val="es-CO"/>
        </w:rPr>
      </w:pPr>
      <w:proofErr w:type="spellStart"/>
      <w:r>
        <w:rPr>
          <w:rFonts w:ascii="Helvetica" w:hAnsi="Helvetica"/>
          <w:sz w:val="22"/>
          <w:u w:val="single"/>
          <w:lang w:val="es-CO"/>
        </w:rPr>
        <w:t>Dangerous</w:t>
      </w:r>
      <w:proofErr w:type="spellEnd"/>
      <w:r>
        <w:rPr>
          <w:rFonts w:ascii="Helvetica" w:hAnsi="Helvetica"/>
          <w:sz w:val="22"/>
          <w:u w:val="single"/>
          <w:lang w:val="es-CO"/>
        </w:rPr>
        <w:t xml:space="preserve"> </w:t>
      </w:r>
      <w:proofErr w:type="spellStart"/>
      <w:r>
        <w:rPr>
          <w:rFonts w:ascii="Helvetica" w:hAnsi="Helvetica"/>
          <w:sz w:val="22"/>
          <w:u w:val="single"/>
          <w:lang w:val="es-CO"/>
        </w:rPr>
        <w:t>components</w:t>
      </w:r>
      <w:proofErr w:type="spellEnd"/>
      <w:r>
        <w:rPr>
          <w:rFonts w:ascii="Helvetica" w:hAnsi="Helvetica"/>
          <w:sz w:val="22"/>
          <w:lang w:val="es-CO"/>
        </w:rPr>
        <w:t>:</w:t>
      </w:r>
    </w:p>
    <w:p w:rsidR="004766D3" w:rsidRDefault="004766D3">
      <w:pPr>
        <w:jc w:val="both"/>
        <w:rPr>
          <w:rFonts w:ascii="Helvetica" w:hAnsi="Helvetica"/>
          <w:sz w:val="22"/>
          <w:lang w:val="es-CO"/>
        </w:rPr>
      </w:pPr>
    </w:p>
    <w:p w:rsidR="004766D3" w:rsidRDefault="004469AA">
      <w:pPr>
        <w:jc w:val="both"/>
        <w:rPr>
          <w:rFonts w:ascii="Helvetica" w:hAnsi="Helvetica"/>
          <w:sz w:val="22"/>
        </w:rPr>
      </w:pPr>
      <w:proofErr w:type="gramStart"/>
      <w:r>
        <w:rPr>
          <w:rFonts w:ascii="Helvetica" w:hAnsi="Helvetica"/>
          <w:sz w:val="22"/>
        </w:rPr>
        <w:t>Identification naphtha (petroleum) or White spirit, weighted fraction hydro desulfurized with benzene &lt;0.1% (CAS n° 64742-82-1).</w:t>
      </w:r>
      <w:proofErr w:type="gramEnd"/>
    </w:p>
    <w:p w:rsidR="004766D3" w:rsidRDefault="004766D3">
      <w:pPr>
        <w:jc w:val="both"/>
        <w:rPr>
          <w:rFonts w:ascii="Helvetica" w:hAnsi="Helvetica"/>
          <w:sz w:val="22"/>
        </w:rPr>
      </w:pPr>
    </w:p>
    <w:p w:rsidR="004766D3" w:rsidRDefault="004469AA">
      <w:pPr>
        <w:jc w:val="both"/>
        <w:rPr>
          <w:rFonts w:ascii="Helvetica" w:hAnsi="Helvetica"/>
          <w:sz w:val="22"/>
        </w:rPr>
      </w:pPr>
      <w:r>
        <w:rPr>
          <w:rFonts w:ascii="Helvetica" w:hAnsi="Helvetica"/>
          <w:sz w:val="22"/>
        </w:rPr>
        <w:t xml:space="preserve">Taking into account all the components of the product and its proportions, the product is considered as: </w:t>
      </w:r>
    </w:p>
    <w:p w:rsidR="004766D3" w:rsidRDefault="004469AA">
      <w:pPr>
        <w:numPr>
          <w:ilvl w:val="0"/>
          <w:numId w:val="4"/>
        </w:numPr>
        <w:ind w:left="567"/>
        <w:jc w:val="both"/>
        <w:rPr>
          <w:rFonts w:ascii="Helvetica" w:hAnsi="Helvetica"/>
          <w:sz w:val="22"/>
        </w:rPr>
      </w:pPr>
      <w:r>
        <w:rPr>
          <w:rFonts w:ascii="Helvetica" w:hAnsi="Helvetica"/>
          <w:sz w:val="22"/>
          <w:u w:val="single"/>
        </w:rPr>
        <w:t>Inflammable</w:t>
      </w:r>
      <w:r>
        <w:rPr>
          <w:rFonts w:ascii="Helvetica" w:hAnsi="Helvetica"/>
          <w:sz w:val="22"/>
        </w:rPr>
        <w:t>: Temperatures above ignition temperature 180 °C</w:t>
      </w:r>
    </w:p>
    <w:p w:rsidR="004766D3" w:rsidRDefault="004469AA">
      <w:pPr>
        <w:numPr>
          <w:ilvl w:val="0"/>
          <w:numId w:val="4"/>
        </w:numPr>
        <w:ind w:left="567"/>
        <w:jc w:val="both"/>
        <w:rPr>
          <w:rFonts w:ascii="Helvetica" w:hAnsi="Helvetica"/>
          <w:sz w:val="22"/>
        </w:rPr>
      </w:pPr>
      <w:r>
        <w:rPr>
          <w:rFonts w:ascii="Helvetica" w:hAnsi="Helvetica"/>
          <w:sz w:val="22"/>
          <w:u w:val="single"/>
        </w:rPr>
        <w:t>Irritating</w:t>
      </w:r>
      <w:r>
        <w:rPr>
          <w:rFonts w:ascii="Helvetica" w:hAnsi="Helvetica"/>
          <w:sz w:val="22"/>
        </w:rPr>
        <w:t>: Temperatures above the environment temperature, higher than 60 °C.</w:t>
      </w:r>
    </w:p>
    <w:p w:rsidR="004766D3" w:rsidRDefault="004469AA">
      <w:pPr>
        <w:numPr>
          <w:ilvl w:val="0"/>
          <w:numId w:val="4"/>
        </w:numPr>
        <w:ind w:left="567"/>
        <w:jc w:val="both"/>
        <w:rPr>
          <w:rFonts w:ascii="Helvetica" w:hAnsi="Helvetica"/>
          <w:sz w:val="22"/>
        </w:rPr>
      </w:pPr>
      <w:r>
        <w:rPr>
          <w:rFonts w:ascii="Helvetica" w:hAnsi="Helvetica"/>
          <w:sz w:val="22"/>
          <w:u w:val="single"/>
        </w:rPr>
        <w:t>Health effects</w:t>
      </w:r>
      <w:r>
        <w:rPr>
          <w:rFonts w:ascii="Helvetica" w:hAnsi="Helvetica"/>
          <w:sz w:val="22"/>
        </w:rPr>
        <w:t>: Temperatures above the environmental temperature.</w:t>
      </w:r>
    </w:p>
    <w:p w:rsidR="004766D3" w:rsidRDefault="004766D3">
      <w:pPr>
        <w:jc w:val="both"/>
        <w:rPr>
          <w:rFonts w:ascii="Helvetica" w:hAnsi="Helvetica"/>
          <w:sz w:val="22"/>
        </w:rPr>
      </w:pPr>
    </w:p>
    <w:p w:rsidR="004766D3" w:rsidRDefault="004469AA">
      <w:pPr>
        <w:rPr>
          <w:rFonts w:ascii="Helvetica" w:hAnsi="Helvetica"/>
          <w:sz w:val="22"/>
        </w:rPr>
      </w:pPr>
      <w:r>
        <w:rPr>
          <w:rFonts w:ascii="Helvetica" w:hAnsi="Helvetica"/>
          <w:sz w:val="22"/>
        </w:rPr>
        <w:t>The potential risks of ROAD BITUMEN is just if it is handled with temperatures higher than the environment temperature, higher than 60 °C</w:t>
      </w:r>
    </w:p>
    <w:p w:rsidR="004766D3" w:rsidRDefault="004766D3">
      <w:pPr>
        <w:rPr>
          <w:rFonts w:ascii="Helvetica" w:hAnsi="Helvetica"/>
          <w:sz w:val="22"/>
        </w:rPr>
      </w:pPr>
    </w:p>
    <w:p w:rsidR="004766D3" w:rsidRDefault="004766D3">
      <w:pPr>
        <w:rPr>
          <w:rFonts w:ascii="Helvetica" w:hAnsi="Helvetica"/>
          <w:sz w:val="22"/>
        </w:rPr>
      </w:pPr>
    </w:p>
    <w:p w:rsidR="004766D3" w:rsidRDefault="004469AA">
      <w:pPr>
        <w:numPr>
          <w:ilvl w:val="0"/>
          <w:numId w:val="3"/>
        </w:numPr>
        <w:jc w:val="both"/>
        <w:rPr>
          <w:rFonts w:ascii="Helvetica" w:hAnsi="Helvetica"/>
          <w:sz w:val="22"/>
        </w:rPr>
      </w:pPr>
      <w:r>
        <w:rPr>
          <w:rFonts w:ascii="Helvetica" w:hAnsi="Helvetica"/>
          <w:b/>
          <w:sz w:val="22"/>
        </w:rPr>
        <w:lastRenderedPageBreak/>
        <w:t>PHISICAL AND CHEMICAL FEATURES OF ROAD BITUMEN:</w:t>
      </w:r>
    </w:p>
    <w:p w:rsidR="004766D3" w:rsidRDefault="004766D3">
      <w:pPr>
        <w:rPr>
          <w:rFonts w:ascii="Helvetica" w:hAnsi="Helvetica"/>
          <w:sz w:val="22"/>
        </w:rPr>
      </w:pPr>
    </w:p>
    <w:tbl>
      <w:tblPr>
        <w:tblW w:w="9220" w:type="dxa"/>
        <w:jc w:val="right"/>
        <w:tblLayout w:type="fixed"/>
        <w:tblCellMar>
          <w:left w:w="70" w:type="dxa"/>
          <w:right w:w="70" w:type="dxa"/>
        </w:tblCellMar>
        <w:tblLook w:val="04A0" w:firstRow="1" w:lastRow="0" w:firstColumn="1" w:lastColumn="0" w:noHBand="0" w:noVBand="1"/>
      </w:tblPr>
      <w:tblGrid>
        <w:gridCol w:w="5641"/>
        <w:gridCol w:w="1008"/>
        <w:gridCol w:w="2571"/>
      </w:tblGrid>
      <w:tr w:rsidR="004766D3">
        <w:trPr>
          <w:trHeight w:val="300"/>
          <w:tblHeader/>
          <w:jc w:val="right"/>
        </w:trPr>
        <w:tc>
          <w:tcPr>
            <w:tcW w:w="5641" w:type="dxa"/>
            <w:tcBorders>
              <w:top w:val="single" w:sz="4" w:space="0" w:color="auto"/>
              <w:left w:val="single" w:sz="4" w:space="0" w:color="auto"/>
              <w:bottom w:val="single" w:sz="4" w:space="0" w:color="auto"/>
              <w:right w:val="single" w:sz="4" w:space="0" w:color="auto"/>
            </w:tcBorders>
            <w:shd w:val="clear" w:color="000000" w:fill="A6A6A6"/>
            <w:vAlign w:val="center"/>
          </w:tcPr>
          <w:p w:rsidR="004766D3" w:rsidRDefault="004469AA">
            <w:pPr>
              <w:jc w:val="center"/>
              <w:rPr>
                <w:rFonts w:ascii="Helvetica" w:hAnsi="Helvetica"/>
                <w:b/>
                <w:bCs/>
                <w:color w:val="FFFFFF" w:themeColor="background1"/>
                <w:sz w:val="20"/>
                <w:lang w:val="es-CO"/>
              </w:rPr>
            </w:pPr>
            <w:r>
              <w:rPr>
                <w:rFonts w:ascii="Helvetica" w:hAnsi="Helvetica"/>
                <w:b/>
                <w:bCs/>
                <w:color w:val="FFFFFF" w:themeColor="background1"/>
                <w:sz w:val="20"/>
                <w:lang w:val="es-ES"/>
              </w:rPr>
              <w:t>FEATURES</w:t>
            </w:r>
          </w:p>
        </w:tc>
        <w:tc>
          <w:tcPr>
            <w:tcW w:w="1008" w:type="dxa"/>
            <w:tcBorders>
              <w:top w:val="single" w:sz="4" w:space="0" w:color="auto"/>
              <w:left w:val="nil"/>
              <w:bottom w:val="single" w:sz="4" w:space="0" w:color="auto"/>
              <w:right w:val="single" w:sz="4" w:space="0" w:color="auto"/>
            </w:tcBorders>
            <w:shd w:val="clear" w:color="000000" w:fill="A6A6A6"/>
            <w:vAlign w:val="center"/>
          </w:tcPr>
          <w:p w:rsidR="004766D3" w:rsidRDefault="004469AA">
            <w:pPr>
              <w:jc w:val="center"/>
              <w:rPr>
                <w:rFonts w:ascii="Helvetica" w:hAnsi="Helvetica"/>
                <w:b/>
                <w:bCs/>
                <w:color w:val="FFFFFF" w:themeColor="background1"/>
                <w:sz w:val="20"/>
                <w:lang w:val="es-CO"/>
              </w:rPr>
            </w:pPr>
            <w:r>
              <w:rPr>
                <w:rFonts w:ascii="Helvetica" w:hAnsi="Helvetica"/>
                <w:b/>
                <w:bCs/>
                <w:color w:val="FFFFFF" w:themeColor="background1"/>
                <w:sz w:val="20"/>
                <w:lang w:val="es-ES"/>
              </w:rPr>
              <w:t>VALUE</w:t>
            </w:r>
          </w:p>
        </w:tc>
        <w:tc>
          <w:tcPr>
            <w:tcW w:w="2571" w:type="dxa"/>
            <w:tcBorders>
              <w:top w:val="single" w:sz="4" w:space="0" w:color="auto"/>
              <w:left w:val="nil"/>
              <w:bottom w:val="single" w:sz="4" w:space="0" w:color="auto"/>
              <w:right w:val="single" w:sz="4" w:space="0" w:color="auto"/>
            </w:tcBorders>
            <w:shd w:val="clear" w:color="000000" w:fill="A6A6A6"/>
            <w:vAlign w:val="center"/>
          </w:tcPr>
          <w:p w:rsidR="004766D3" w:rsidRDefault="004469AA">
            <w:pPr>
              <w:jc w:val="center"/>
              <w:rPr>
                <w:rFonts w:ascii="Helvetica" w:hAnsi="Helvetica"/>
                <w:b/>
                <w:bCs/>
                <w:color w:val="FFFFFF" w:themeColor="background1"/>
                <w:sz w:val="20"/>
                <w:lang w:val="es-CO"/>
              </w:rPr>
            </w:pPr>
            <w:r>
              <w:rPr>
                <w:rFonts w:ascii="Helvetica" w:hAnsi="Helvetica"/>
                <w:b/>
                <w:bCs/>
                <w:color w:val="FFFFFF" w:themeColor="background1"/>
                <w:sz w:val="20"/>
                <w:lang w:val="es-ES"/>
              </w:rPr>
              <w:t>NORMS</w:t>
            </w:r>
          </w:p>
        </w:tc>
      </w:tr>
      <w:tr w:rsidR="004766D3">
        <w:trPr>
          <w:trHeight w:val="378"/>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Penetration of the asphaltic materials at 25 °C and 5 s; (0,1mm)</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83,3</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706 (ASTM D 5)</w:t>
            </w:r>
          </w:p>
        </w:tc>
      </w:tr>
      <w:tr w:rsidR="004766D3">
        <w:trPr>
          <w:trHeight w:val="430"/>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Ductility of the asphalt materials to 25 °C, 5 cm/min; (cm)</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100+</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702 (ASTM D 113)</w:t>
            </w:r>
          </w:p>
        </w:tc>
      </w:tr>
      <w:tr w:rsidR="004766D3">
        <w:trPr>
          <w:trHeight w:val="645"/>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Softening place of bituminous materials (ring and ball tool) (5 °C/min; (°C).</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44,9</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712 (ASTM D 36)</w:t>
            </w:r>
          </w:p>
        </w:tc>
      </w:tr>
      <w:tr w:rsidR="004766D3">
        <w:trPr>
          <w:trHeight w:val="645"/>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Asphalt viscosity with the void capillary viscometer method to 60 °C and 300 mmHg; (Poises)</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1265,57</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716 (ASTM D 2171)</w:t>
            </w:r>
          </w:p>
        </w:tc>
      </w:tr>
      <w:tr w:rsidR="004766D3">
        <w:trPr>
          <w:trHeight w:val="300"/>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Asphalt kinematics viscosity to 135oC; (</w:t>
            </w:r>
            <w:proofErr w:type="spellStart"/>
            <w:r>
              <w:rPr>
                <w:rFonts w:ascii="Helvetica" w:hAnsi="Helvetica"/>
                <w:sz w:val="20"/>
              </w:rPr>
              <w:t>cSt</w:t>
            </w:r>
            <w:proofErr w:type="spellEnd"/>
            <w:r>
              <w:rPr>
                <w:rFonts w:ascii="Helvetica" w:hAnsi="Helvetica"/>
                <w:sz w:val="20"/>
              </w:rPr>
              <w:t>)</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224,468</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712 (ASTM D 2170)</w:t>
            </w:r>
          </w:p>
        </w:tc>
      </w:tr>
      <w:tr w:rsidR="004766D3">
        <w:trPr>
          <w:trHeight w:val="343"/>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Water in the asphalt materials by distillation; (% Volume)</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0,19</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704 (ASTM D 95)</w:t>
            </w:r>
          </w:p>
        </w:tc>
      </w:tr>
      <w:tr w:rsidR="004766D3">
        <w:trPr>
          <w:trHeight w:val="600"/>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Solubility of the asphalt materials in trichloroethylene; (% weight)</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99,2</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713 (ASTM D 2042)</w:t>
            </w:r>
          </w:p>
        </w:tc>
      </w:tr>
      <w:tr w:rsidR="004766D3">
        <w:trPr>
          <w:trHeight w:val="300"/>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Index penetration of asphalt cements.</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-1,4</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724</w:t>
            </w:r>
          </w:p>
        </w:tc>
      </w:tr>
      <w:tr w:rsidR="004766D3">
        <w:trPr>
          <w:trHeight w:val="600"/>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Essay in the oven of fine asphalt layer in movement- RTOF a 163oC y 85 min; (%weight).</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-6,422</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720 (ASTM D 2872)</w:t>
            </w:r>
          </w:p>
        </w:tc>
      </w:tr>
      <w:tr w:rsidR="004766D3">
        <w:trPr>
          <w:trHeight w:val="600"/>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Penetration of the asphalt materials in 25oC, 100 g and 5 s asphalt RFTO; (0,1 MM)</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22,3</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706 (ASTM D 5)</w:t>
            </w:r>
          </w:p>
        </w:tc>
      </w:tr>
      <w:tr w:rsidR="004766D3">
        <w:trPr>
          <w:trHeight w:val="300"/>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lang w:val="es-CO"/>
              </w:rPr>
            </w:pPr>
            <w:r>
              <w:rPr>
                <w:rFonts w:ascii="Helvetica" w:hAnsi="Helvetica"/>
                <w:sz w:val="20"/>
                <w:lang w:val="es-ES"/>
              </w:rPr>
              <w:t xml:space="preserve">Residual </w:t>
            </w:r>
            <w:r>
              <w:rPr>
                <w:rFonts w:ascii="Helvetica" w:hAnsi="Helvetica"/>
                <w:sz w:val="20"/>
              </w:rPr>
              <w:t>penetration</w:t>
            </w:r>
            <w:r>
              <w:rPr>
                <w:rFonts w:ascii="Helvetica" w:hAnsi="Helvetica"/>
                <w:sz w:val="20"/>
                <w:lang w:val="es-ES"/>
              </w:rPr>
              <w:t>.</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27</w:t>
            </w:r>
          </w:p>
        </w:tc>
        <w:tc>
          <w:tcPr>
            <w:tcW w:w="2571" w:type="dxa"/>
            <w:tcBorders>
              <w:top w:val="nil"/>
              <w:left w:val="nil"/>
              <w:bottom w:val="single" w:sz="4" w:space="0" w:color="auto"/>
              <w:right w:val="single" w:sz="4" w:space="0" w:color="auto"/>
            </w:tcBorders>
            <w:shd w:val="clear" w:color="000000" w:fill="FFFFFF"/>
            <w:vAlign w:val="center"/>
          </w:tcPr>
          <w:p w:rsidR="004766D3" w:rsidRDefault="004766D3">
            <w:pPr>
              <w:jc w:val="center"/>
              <w:rPr>
                <w:rFonts w:ascii="Helvetica" w:hAnsi="Helvetica"/>
                <w:sz w:val="20"/>
                <w:lang w:val="es-CO"/>
              </w:rPr>
            </w:pPr>
          </w:p>
        </w:tc>
      </w:tr>
      <w:tr w:rsidR="004766D3">
        <w:trPr>
          <w:trHeight w:val="645"/>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Softening place of bituminous materials (ring tool and ball) (5 °C/min; (°C), asphalt RTFO (°C).</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57,8</w:t>
            </w:r>
          </w:p>
        </w:tc>
        <w:tc>
          <w:tcPr>
            <w:tcW w:w="2571"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INV-E 712 (ASTM D 36)</w:t>
            </w:r>
          </w:p>
        </w:tc>
      </w:tr>
      <w:tr w:rsidR="004766D3">
        <w:trPr>
          <w:trHeight w:val="345"/>
          <w:jc w:val="right"/>
        </w:trPr>
        <w:tc>
          <w:tcPr>
            <w:tcW w:w="5641" w:type="dxa"/>
            <w:tcBorders>
              <w:top w:val="nil"/>
              <w:left w:val="single" w:sz="4" w:space="0" w:color="auto"/>
              <w:bottom w:val="single" w:sz="4" w:space="0" w:color="auto"/>
              <w:right w:val="single" w:sz="4" w:space="0" w:color="auto"/>
            </w:tcBorders>
            <w:shd w:val="clear" w:color="000000" w:fill="FFFFFF"/>
            <w:vAlign w:val="center"/>
          </w:tcPr>
          <w:p w:rsidR="004766D3" w:rsidRDefault="004469AA">
            <w:pPr>
              <w:jc w:val="both"/>
              <w:rPr>
                <w:rFonts w:ascii="Helvetica" w:hAnsi="Helvetica"/>
                <w:sz w:val="20"/>
              </w:rPr>
            </w:pPr>
            <w:r>
              <w:rPr>
                <w:rFonts w:ascii="Helvetica" w:hAnsi="Helvetica"/>
                <w:sz w:val="20"/>
              </w:rPr>
              <w:t>Increase of point of softening,(°C)</w:t>
            </w:r>
          </w:p>
        </w:tc>
        <w:tc>
          <w:tcPr>
            <w:tcW w:w="1008" w:type="dxa"/>
            <w:tcBorders>
              <w:top w:val="nil"/>
              <w:left w:val="nil"/>
              <w:bottom w:val="single" w:sz="4" w:space="0" w:color="auto"/>
              <w:right w:val="single" w:sz="4" w:space="0" w:color="auto"/>
            </w:tcBorders>
            <w:shd w:val="clear" w:color="000000" w:fill="FFFFFF"/>
            <w:vAlign w:val="center"/>
          </w:tcPr>
          <w:p w:rsidR="004766D3" w:rsidRDefault="004469AA">
            <w:pPr>
              <w:jc w:val="center"/>
              <w:rPr>
                <w:rFonts w:ascii="Helvetica" w:hAnsi="Helvetica"/>
                <w:sz w:val="20"/>
                <w:lang w:val="es-CO"/>
              </w:rPr>
            </w:pPr>
            <w:r>
              <w:rPr>
                <w:rFonts w:ascii="Helvetica" w:hAnsi="Helvetica"/>
                <w:sz w:val="20"/>
                <w:lang w:val="es-ES"/>
              </w:rPr>
              <w:t>12,9</w:t>
            </w:r>
          </w:p>
        </w:tc>
        <w:tc>
          <w:tcPr>
            <w:tcW w:w="2571" w:type="dxa"/>
            <w:tcBorders>
              <w:top w:val="nil"/>
              <w:left w:val="nil"/>
              <w:bottom w:val="single" w:sz="4" w:space="0" w:color="auto"/>
              <w:right w:val="single" w:sz="4" w:space="0" w:color="auto"/>
            </w:tcBorders>
            <w:shd w:val="clear" w:color="000000" w:fill="FFFFFF"/>
            <w:vAlign w:val="center"/>
          </w:tcPr>
          <w:p w:rsidR="004766D3" w:rsidRDefault="004766D3">
            <w:pPr>
              <w:jc w:val="center"/>
              <w:rPr>
                <w:rFonts w:ascii="Helvetica" w:hAnsi="Helvetica"/>
                <w:sz w:val="20"/>
                <w:lang w:val="es-CO"/>
              </w:rPr>
            </w:pPr>
          </w:p>
        </w:tc>
      </w:tr>
    </w:tbl>
    <w:p w:rsidR="004469AA" w:rsidRDefault="004469AA">
      <w:pPr>
        <w:jc w:val="both"/>
        <w:rPr>
          <w:rFonts w:ascii="Helvetica" w:hAnsi="Helvetica"/>
          <w:sz w:val="22"/>
          <w:lang w:val="es-CO"/>
        </w:rPr>
      </w:pPr>
    </w:p>
    <w:p w:rsidR="004469AA" w:rsidRDefault="004469AA">
      <w:pPr>
        <w:jc w:val="both"/>
        <w:rPr>
          <w:rFonts w:ascii="Helvetica" w:hAnsi="Helvetica"/>
          <w:sz w:val="22"/>
          <w:lang w:val="es-CO"/>
        </w:rPr>
      </w:pPr>
    </w:p>
    <w:p w:rsidR="004469AA" w:rsidRDefault="004469AA">
      <w:pPr>
        <w:jc w:val="both"/>
        <w:rPr>
          <w:rFonts w:ascii="Helvetica" w:hAnsi="Helvetica"/>
          <w:sz w:val="22"/>
          <w:lang w:val="es-CO"/>
        </w:rPr>
      </w:pPr>
    </w:p>
    <w:p w:rsidR="004469AA" w:rsidRDefault="004469AA">
      <w:pPr>
        <w:jc w:val="both"/>
        <w:rPr>
          <w:rFonts w:ascii="Helvetica" w:hAnsi="Helvetica"/>
          <w:sz w:val="22"/>
          <w:lang w:val="es-CO"/>
        </w:rPr>
      </w:pPr>
    </w:p>
    <w:p w:rsidR="004469AA" w:rsidRDefault="004469AA">
      <w:pPr>
        <w:jc w:val="both"/>
        <w:rPr>
          <w:rFonts w:ascii="Helvetica" w:hAnsi="Helvetica"/>
          <w:sz w:val="22"/>
          <w:lang w:val="es-CO"/>
        </w:rPr>
      </w:pPr>
    </w:p>
    <w:p w:rsidR="004766D3" w:rsidRDefault="004469AA">
      <w:pPr>
        <w:jc w:val="both"/>
        <w:rPr>
          <w:rFonts w:ascii="Helvetica" w:hAnsi="Helvetica"/>
          <w:sz w:val="22"/>
          <w:lang w:val="es-CO"/>
        </w:rPr>
      </w:pPr>
      <w:r>
        <w:rPr>
          <w:rFonts w:ascii="Helvetica" w:hAnsi="Helvetica"/>
          <w:sz w:val="22"/>
          <w:lang w:val="es-CO"/>
        </w:rPr>
        <w:t xml:space="preserve">Note: As the </w:t>
      </w:r>
      <w:proofErr w:type="spellStart"/>
      <w:r>
        <w:rPr>
          <w:rFonts w:ascii="Helvetica" w:hAnsi="Helvetica"/>
          <w:sz w:val="22"/>
          <w:lang w:val="es-CO"/>
        </w:rPr>
        <w:t>product</w:t>
      </w:r>
      <w:proofErr w:type="spellEnd"/>
      <w:r>
        <w:rPr>
          <w:rFonts w:ascii="Helvetica" w:hAnsi="Helvetica"/>
          <w:sz w:val="22"/>
          <w:lang w:val="es-CO"/>
        </w:rPr>
        <w:t xml:space="preserve"> is a natural </w:t>
      </w:r>
      <w:proofErr w:type="spellStart"/>
      <w:r>
        <w:rPr>
          <w:rFonts w:ascii="Helvetica" w:hAnsi="Helvetica"/>
          <w:sz w:val="22"/>
          <w:lang w:val="es-CO"/>
        </w:rPr>
        <w:t>asphalt</w:t>
      </w:r>
      <w:proofErr w:type="spellEnd"/>
      <w:r>
        <w:rPr>
          <w:rFonts w:ascii="Helvetica" w:hAnsi="Helvetica"/>
          <w:sz w:val="22"/>
          <w:lang w:val="es-CO"/>
        </w:rPr>
        <w:t xml:space="preserve"> and we </w:t>
      </w:r>
      <w:proofErr w:type="spellStart"/>
      <w:r>
        <w:rPr>
          <w:rFonts w:ascii="Helvetica" w:hAnsi="Helvetica"/>
          <w:sz w:val="22"/>
          <w:lang w:val="es-CO"/>
        </w:rPr>
        <w:t>don't</w:t>
      </w:r>
      <w:proofErr w:type="spellEnd"/>
      <w:r>
        <w:rPr>
          <w:rFonts w:ascii="Helvetica" w:hAnsi="Helvetica"/>
          <w:sz w:val="22"/>
          <w:lang w:val="es-CO"/>
        </w:rPr>
        <w:t xml:space="preserve"> </w:t>
      </w:r>
      <w:proofErr w:type="spellStart"/>
      <w:r>
        <w:rPr>
          <w:rFonts w:ascii="Helvetica" w:hAnsi="Helvetica"/>
          <w:sz w:val="22"/>
          <w:lang w:val="es-CO"/>
        </w:rPr>
        <w:t>perform</w:t>
      </w:r>
      <w:proofErr w:type="spellEnd"/>
      <w:r>
        <w:rPr>
          <w:rFonts w:ascii="Helvetica" w:hAnsi="Helvetica"/>
          <w:sz w:val="22"/>
          <w:lang w:val="es-CO"/>
        </w:rPr>
        <w:t xml:space="preserve"> </w:t>
      </w:r>
      <w:proofErr w:type="spellStart"/>
      <w:r>
        <w:rPr>
          <w:rFonts w:ascii="Helvetica" w:hAnsi="Helvetica"/>
          <w:sz w:val="22"/>
          <w:lang w:val="es-CO"/>
        </w:rPr>
        <w:t>additional</w:t>
      </w:r>
      <w:proofErr w:type="spellEnd"/>
      <w:r>
        <w:rPr>
          <w:rFonts w:ascii="Helvetica" w:hAnsi="Helvetica"/>
          <w:sz w:val="22"/>
          <w:lang w:val="es-CO"/>
        </w:rPr>
        <w:t xml:space="preserve"> </w:t>
      </w:r>
      <w:proofErr w:type="spellStart"/>
      <w:r>
        <w:rPr>
          <w:rFonts w:ascii="Helvetica" w:hAnsi="Helvetica"/>
          <w:sz w:val="22"/>
          <w:lang w:val="es-CO"/>
        </w:rPr>
        <w:t>processes</w:t>
      </w:r>
      <w:proofErr w:type="spellEnd"/>
      <w:r>
        <w:rPr>
          <w:rFonts w:ascii="Helvetica" w:hAnsi="Helvetica"/>
          <w:sz w:val="22"/>
          <w:lang w:val="es-CO"/>
        </w:rPr>
        <w:t xml:space="preserve"> </w:t>
      </w:r>
      <w:proofErr w:type="spellStart"/>
      <w:r>
        <w:rPr>
          <w:rFonts w:ascii="Helvetica" w:hAnsi="Helvetica"/>
          <w:sz w:val="22"/>
          <w:lang w:val="es-CO"/>
        </w:rPr>
        <w:t>because</w:t>
      </w:r>
      <w:proofErr w:type="spellEnd"/>
      <w:r>
        <w:rPr>
          <w:rFonts w:ascii="Helvetica" w:hAnsi="Helvetica"/>
          <w:sz w:val="22"/>
          <w:lang w:val="es-CO"/>
        </w:rPr>
        <w:t xml:space="preserve"> </w:t>
      </w:r>
      <w:proofErr w:type="spellStart"/>
      <w:r>
        <w:rPr>
          <w:rFonts w:ascii="Helvetica" w:hAnsi="Helvetica"/>
          <w:sz w:val="22"/>
          <w:lang w:val="es-CO"/>
        </w:rPr>
        <w:t>it</w:t>
      </w:r>
      <w:proofErr w:type="spellEnd"/>
      <w:r>
        <w:rPr>
          <w:rFonts w:ascii="Helvetica" w:hAnsi="Helvetica"/>
          <w:sz w:val="22"/>
          <w:lang w:val="es-CO"/>
        </w:rPr>
        <w:t xml:space="preserve"> is </w:t>
      </w:r>
      <w:proofErr w:type="spellStart"/>
      <w:r>
        <w:rPr>
          <w:rFonts w:ascii="Helvetica" w:hAnsi="Helvetica"/>
          <w:sz w:val="22"/>
          <w:lang w:val="es-CO"/>
        </w:rPr>
        <w:t>offered</w:t>
      </w:r>
      <w:proofErr w:type="spellEnd"/>
      <w:r>
        <w:rPr>
          <w:rFonts w:ascii="Helvetica" w:hAnsi="Helvetica"/>
          <w:sz w:val="22"/>
          <w:lang w:val="es-CO"/>
        </w:rPr>
        <w:t xml:space="preserve"> in </w:t>
      </w:r>
      <w:proofErr w:type="spellStart"/>
      <w:r>
        <w:rPr>
          <w:rFonts w:ascii="Helvetica" w:hAnsi="Helvetica"/>
          <w:sz w:val="22"/>
          <w:lang w:val="es-CO"/>
        </w:rPr>
        <w:t>its</w:t>
      </w:r>
      <w:proofErr w:type="spellEnd"/>
      <w:r>
        <w:rPr>
          <w:rFonts w:ascii="Helvetica" w:hAnsi="Helvetica"/>
          <w:sz w:val="22"/>
          <w:lang w:val="es-CO"/>
        </w:rPr>
        <w:t xml:space="preserve"> natural </w:t>
      </w:r>
      <w:proofErr w:type="spellStart"/>
      <w:r>
        <w:rPr>
          <w:rFonts w:ascii="Helvetica" w:hAnsi="Helvetica"/>
          <w:sz w:val="22"/>
          <w:lang w:val="es-CO"/>
        </w:rPr>
        <w:t>condition</w:t>
      </w:r>
      <w:proofErr w:type="spellEnd"/>
      <w:r>
        <w:rPr>
          <w:rFonts w:ascii="Helvetica" w:hAnsi="Helvetica"/>
          <w:sz w:val="22"/>
          <w:lang w:val="es-CO"/>
        </w:rPr>
        <w:t xml:space="preserve">, the data </w:t>
      </w:r>
      <w:proofErr w:type="spellStart"/>
      <w:r>
        <w:rPr>
          <w:rFonts w:ascii="Helvetica" w:hAnsi="Helvetica"/>
          <w:sz w:val="22"/>
          <w:lang w:val="es-CO"/>
        </w:rPr>
        <w:t>sheet</w:t>
      </w:r>
      <w:proofErr w:type="spellEnd"/>
      <w:r>
        <w:rPr>
          <w:rFonts w:ascii="Helvetica" w:hAnsi="Helvetica"/>
          <w:sz w:val="22"/>
          <w:lang w:val="es-CO"/>
        </w:rPr>
        <w:t xml:space="preserve"> </w:t>
      </w:r>
      <w:proofErr w:type="spellStart"/>
      <w:r>
        <w:rPr>
          <w:rFonts w:ascii="Helvetica" w:hAnsi="Helvetica"/>
          <w:sz w:val="22"/>
          <w:lang w:val="es-CO"/>
        </w:rPr>
        <w:t>previous</w:t>
      </w:r>
      <w:proofErr w:type="spellEnd"/>
      <w:r>
        <w:rPr>
          <w:rFonts w:ascii="Helvetica" w:hAnsi="Helvetica"/>
          <w:sz w:val="22"/>
          <w:lang w:val="es-CO"/>
        </w:rPr>
        <w:t xml:space="preserve"> </w:t>
      </w:r>
      <w:proofErr w:type="spellStart"/>
      <w:r>
        <w:rPr>
          <w:rFonts w:ascii="Helvetica" w:hAnsi="Helvetica"/>
          <w:sz w:val="22"/>
          <w:lang w:val="es-CO"/>
        </w:rPr>
        <w:t>could</w:t>
      </w:r>
      <w:proofErr w:type="spellEnd"/>
      <w:r>
        <w:rPr>
          <w:rFonts w:ascii="Helvetica" w:hAnsi="Helvetica"/>
          <w:sz w:val="22"/>
          <w:lang w:val="es-CO"/>
        </w:rPr>
        <w:t xml:space="preserve"> show </w:t>
      </w:r>
      <w:proofErr w:type="spellStart"/>
      <w:r>
        <w:rPr>
          <w:rFonts w:ascii="Helvetica" w:hAnsi="Helvetica"/>
          <w:sz w:val="22"/>
          <w:lang w:val="es-CO"/>
        </w:rPr>
        <w:t>variations</w:t>
      </w:r>
      <w:proofErr w:type="spellEnd"/>
      <w:r>
        <w:rPr>
          <w:rFonts w:ascii="Helvetica" w:hAnsi="Helvetica"/>
          <w:sz w:val="22"/>
          <w:lang w:val="es-CO"/>
        </w:rPr>
        <w:t xml:space="preserve"> of the </w:t>
      </w:r>
      <w:proofErr w:type="spellStart"/>
      <w:r>
        <w:rPr>
          <w:rFonts w:ascii="Helvetica" w:hAnsi="Helvetica"/>
          <w:sz w:val="22"/>
          <w:lang w:val="es-CO"/>
        </w:rPr>
        <w:t>mainly</w:t>
      </w:r>
      <w:proofErr w:type="spellEnd"/>
      <w:r>
        <w:rPr>
          <w:rFonts w:ascii="Helvetica" w:hAnsi="Helvetica"/>
          <w:sz w:val="22"/>
          <w:lang w:val="es-CO"/>
        </w:rPr>
        <w:t xml:space="preserve"> </w:t>
      </w:r>
      <w:proofErr w:type="spellStart"/>
      <w:r>
        <w:rPr>
          <w:rFonts w:ascii="Helvetica" w:hAnsi="Helvetica"/>
          <w:sz w:val="22"/>
          <w:lang w:val="es-CO"/>
        </w:rPr>
        <w:t>physicochemical</w:t>
      </w:r>
      <w:proofErr w:type="spellEnd"/>
      <w:r>
        <w:rPr>
          <w:rFonts w:ascii="Helvetica" w:hAnsi="Helvetica"/>
          <w:sz w:val="22"/>
          <w:lang w:val="es-CO"/>
        </w:rPr>
        <w:t xml:space="preserve"> </w:t>
      </w:r>
      <w:proofErr w:type="spellStart"/>
      <w:r>
        <w:rPr>
          <w:rFonts w:ascii="Helvetica" w:hAnsi="Helvetica"/>
          <w:sz w:val="22"/>
          <w:lang w:val="es-CO"/>
        </w:rPr>
        <w:t>properties</w:t>
      </w:r>
      <w:proofErr w:type="spellEnd"/>
      <w:r>
        <w:rPr>
          <w:rFonts w:ascii="Helvetica" w:hAnsi="Helvetica"/>
          <w:sz w:val="22"/>
          <w:lang w:val="es-CO"/>
        </w:rPr>
        <w:t xml:space="preserve"> </w:t>
      </w:r>
      <w:proofErr w:type="spellStart"/>
      <w:r>
        <w:rPr>
          <w:rFonts w:ascii="Helvetica" w:hAnsi="Helvetica"/>
          <w:sz w:val="22"/>
          <w:lang w:val="es-CO"/>
        </w:rPr>
        <w:t>according</w:t>
      </w:r>
      <w:proofErr w:type="spellEnd"/>
      <w:r>
        <w:rPr>
          <w:rFonts w:ascii="Helvetica" w:hAnsi="Helvetica"/>
          <w:sz w:val="22"/>
          <w:lang w:val="es-CO"/>
        </w:rPr>
        <w:t xml:space="preserve"> to the </w:t>
      </w:r>
      <w:proofErr w:type="spellStart"/>
      <w:r>
        <w:rPr>
          <w:rFonts w:ascii="Helvetica" w:hAnsi="Helvetica"/>
          <w:sz w:val="22"/>
          <w:lang w:val="es-CO"/>
        </w:rPr>
        <w:t>next</w:t>
      </w:r>
      <w:proofErr w:type="spellEnd"/>
      <w:r>
        <w:rPr>
          <w:rFonts w:ascii="Helvetica" w:hAnsi="Helvetica"/>
          <w:sz w:val="22"/>
          <w:lang w:val="es-CO"/>
        </w:rPr>
        <w:t xml:space="preserve"> </w:t>
      </w:r>
      <w:proofErr w:type="spellStart"/>
      <w:r>
        <w:rPr>
          <w:rFonts w:ascii="Helvetica" w:hAnsi="Helvetica"/>
          <w:sz w:val="22"/>
          <w:lang w:val="es-CO"/>
        </w:rPr>
        <w:t>ranges</w:t>
      </w:r>
      <w:proofErr w:type="spellEnd"/>
      <w:r>
        <w:rPr>
          <w:rFonts w:ascii="Helvetica" w:hAnsi="Helvetica"/>
          <w:sz w:val="22"/>
          <w:lang w:val="es-CO"/>
        </w:rPr>
        <w:t xml:space="preserve"> of </w:t>
      </w:r>
      <w:proofErr w:type="spellStart"/>
      <w:r>
        <w:rPr>
          <w:rFonts w:ascii="Helvetica" w:hAnsi="Helvetica"/>
          <w:sz w:val="22"/>
          <w:lang w:val="es-CO"/>
        </w:rPr>
        <w:t>variation</w:t>
      </w:r>
      <w:proofErr w:type="spellEnd"/>
      <w:r>
        <w:rPr>
          <w:rFonts w:ascii="Helvetica" w:hAnsi="Helvetica"/>
          <w:sz w:val="22"/>
          <w:lang w:val="es-CO"/>
        </w:rPr>
        <w:t>:</w:t>
      </w:r>
    </w:p>
    <w:p w:rsidR="004766D3" w:rsidRDefault="004766D3">
      <w:pPr>
        <w:rPr>
          <w:rFonts w:ascii="Helvetica" w:hAnsi="Helvetica"/>
          <w:sz w:val="22"/>
        </w:rPr>
      </w:pPr>
    </w:p>
    <w:tbl>
      <w:tblPr>
        <w:tblW w:w="9038" w:type="dxa"/>
        <w:tblLayout w:type="fixed"/>
        <w:tblLook w:val="04A0" w:firstRow="1" w:lastRow="0" w:firstColumn="1" w:lastColumn="0" w:noHBand="0" w:noVBand="1"/>
      </w:tblPr>
      <w:tblGrid>
        <w:gridCol w:w="6487"/>
        <w:gridCol w:w="1275"/>
        <w:gridCol w:w="1276"/>
      </w:tblGrid>
      <w:tr w:rsidR="004766D3">
        <w:tc>
          <w:tcPr>
            <w:tcW w:w="6487" w:type="dxa"/>
            <w:tcBorders>
              <w:top w:val="single" w:sz="4" w:space="0" w:color="auto"/>
              <w:left w:val="single" w:sz="4" w:space="0" w:color="auto"/>
              <w:bottom w:val="single" w:sz="4" w:space="0" w:color="auto"/>
              <w:right w:val="single" w:sz="4" w:space="0" w:color="auto"/>
            </w:tcBorders>
            <w:shd w:val="clear" w:color="auto" w:fill="A6A6A6"/>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b/>
                <w:color w:val="FFFFFF" w:themeColor="background1"/>
                <w:sz w:val="20"/>
                <w:lang w:val="es-ES"/>
              </w:rPr>
            </w:pPr>
            <w:r>
              <w:rPr>
                <w:rFonts w:ascii="Helvetica" w:hAnsi="Helvetica" w:cs="Times"/>
                <w:b/>
                <w:color w:val="FFFFFF" w:themeColor="background1"/>
                <w:sz w:val="20"/>
                <w:lang w:val="es-ES"/>
              </w:rPr>
              <w:lastRenderedPageBreak/>
              <w:t>FEATURES</w:t>
            </w:r>
          </w:p>
        </w:tc>
        <w:tc>
          <w:tcPr>
            <w:tcW w:w="1275" w:type="dxa"/>
            <w:tcBorders>
              <w:top w:val="single" w:sz="4" w:space="0" w:color="auto"/>
              <w:left w:val="single" w:sz="4" w:space="0" w:color="auto"/>
              <w:bottom w:val="single" w:sz="4" w:space="0" w:color="auto"/>
              <w:right w:val="single" w:sz="4" w:space="0" w:color="auto"/>
            </w:tcBorders>
            <w:shd w:val="clear" w:color="auto" w:fill="A6A6A6"/>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b/>
                <w:color w:val="FFFFFF" w:themeColor="background1"/>
                <w:sz w:val="20"/>
                <w:lang w:val="es-ES"/>
              </w:rPr>
            </w:pPr>
            <w:r>
              <w:rPr>
                <w:rFonts w:ascii="Helvetica" w:hAnsi="Helvetica" w:cs="Times"/>
                <w:b/>
                <w:color w:val="FFFFFF" w:themeColor="background1"/>
                <w:sz w:val="20"/>
                <w:lang w:val="es-ES"/>
              </w:rPr>
              <w:t>MINIMUM VALUE</w:t>
            </w:r>
          </w:p>
        </w:tc>
        <w:tc>
          <w:tcPr>
            <w:tcW w:w="1276" w:type="dxa"/>
            <w:tcBorders>
              <w:top w:val="single" w:sz="4" w:space="0" w:color="auto"/>
              <w:left w:val="single" w:sz="4" w:space="0" w:color="auto"/>
              <w:bottom w:val="single" w:sz="4" w:space="0" w:color="auto"/>
              <w:right w:val="single" w:sz="4" w:space="0" w:color="auto"/>
            </w:tcBorders>
            <w:shd w:val="clear" w:color="auto" w:fill="A6A6A6"/>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b/>
                <w:color w:val="FFFFFF" w:themeColor="background1"/>
                <w:sz w:val="20"/>
                <w:lang w:val="es-ES"/>
              </w:rPr>
            </w:pPr>
            <w:r>
              <w:rPr>
                <w:rFonts w:ascii="Helvetica" w:hAnsi="Helvetica" w:cs="Times"/>
                <w:b/>
                <w:color w:val="FFFFFF" w:themeColor="background1"/>
                <w:sz w:val="20"/>
                <w:lang w:val="es-ES"/>
              </w:rPr>
              <w:t>MAXIMUN VALUE</w:t>
            </w:r>
          </w:p>
        </w:tc>
      </w:tr>
      <w:tr w:rsidR="004766D3">
        <w:trPr>
          <w:trHeight w:val="284"/>
        </w:trPr>
        <w:tc>
          <w:tcPr>
            <w:tcW w:w="6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rPr>
                <w:rFonts w:ascii="Helvetica" w:hAnsi="Helvetica" w:cs="Times"/>
                <w:sz w:val="20"/>
                <w:lang w:val="es-ES"/>
              </w:rPr>
            </w:pPr>
            <w:r>
              <w:rPr>
                <w:rFonts w:ascii="Helvetica" w:hAnsi="Helvetica"/>
                <w:sz w:val="20"/>
              </w:rPr>
              <w:t>Penetration of the asphaltic materials at 25 °C and 5 s; (0,1mm)</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sz w:val="20"/>
                <w:lang w:val="es-ES"/>
              </w:rPr>
            </w:pPr>
            <w:r>
              <w:rPr>
                <w:rFonts w:ascii="Helvetica" w:hAnsi="Helvetica" w:cs="Times"/>
                <w:sz w:val="20"/>
                <w:lang w:val="es-ES"/>
              </w:rPr>
              <w:t>70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sz w:val="20"/>
                <w:lang w:val="es-ES"/>
              </w:rPr>
            </w:pPr>
            <w:r>
              <w:rPr>
                <w:rFonts w:ascii="Helvetica" w:hAnsi="Helvetica" w:cs="Times"/>
                <w:sz w:val="20"/>
                <w:lang w:val="es-ES"/>
              </w:rPr>
              <w:t>-</w:t>
            </w:r>
          </w:p>
        </w:tc>
      </w:tr>
      <w:tr w:rsidR="004766D3">
        <w:tc>
          <w:tcPr>
            <w:tcW w:w="6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rPr>
                <w:rFonts w:ascii="Helvetica" w:hAnsi="Helvetica" w:cs="Times"/>
                <w:sz w:val="20"/>
                <w:lang w:val="es-ES"/>
              </w:rPr>
            </w:pPr>
            <w:r>
              <w:rPr>
                <w:rFonts w:ascii="Helvetica" w:hAnsi="Helvetica"/>
                <w:sz w:val="20"/>
              </w:rPr>
              <w:t>Ductility of the asphalt materials to 25 °C, 5 cm/min; (cm)</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sz w:val="20"/>
                <w:lang w:val="es-ES"/>
              </w:rPr>
            </w:pPr>
            <w:r>
              <w:rPr>
                <w:rFonts w:ascii="Helvetica" w:hAnsi="Helvetica" w:cs="Times"/>
                <w:sz w:val="20"/>
                <w:lang w:val="es-ES"/>
              </w:rPr>
              <w:t>50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sz w:val="20"/>
                <w:lang w:val="es-ES"/>
              </w:rPr>
            </w:pPr>
            <w:r>
              <w:rPr>
                <w:rFonts w:ascii="Helvetica" w:hAnsi="Helvetica" w:cs="Times"/>
                <w:sz w:val="20"/>
                <w:lang w:val="es-ES"/>
              </w:rPr>
              <w:t>-</w:t>
            </w:r>
          </w:p>
        </w:tc>
      </w:tr>
      <w:tr w:rsidR="004766D3">
        <w:tc>
          <w:tcPr>
            <w:tcW w:w="6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rPr>
                <w:rFonts w:ascii="Helvetica" w:hAnsi="Helvetica" w:cs="Times"/>
                <w:sz w:val="20"/>
                <w:lang w:val="es-ES"/>
              </w:rPr>
            </w:pPr>
            <w:r>
              <w:rPr>
                <w:rFonts w:ascii="Helvetica" w:hAnsi="Helvetica"/>
                <w:sz w:val="20"/>
              </w:rPr>
              <w:t>Asphalt viscosity with the void capillary viscometer method to 60 °C and 300 mmHg; (Poises)</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sz w:val="20"/>
                <w:lang w:val="es-ES"/>
              </w:rPr>
            </w:pPr>
            <w:r>
              <w:rPr>
                <w:rFonts w:ascii="Helvetica" w:hAnsi="Helvetica" w:cs="Times"/>
                <w:sz w:val="20"/>
                <w:lang w:val="es-ES"/>
              </w:rPr>
              <w:t>700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sz w:val="20"/>
                <w:lang w:val="es-ES"/>
              </w:rPr>
            </w:pPr>
            <w:r>
              <w:rPr>
                <w:rFonts w:ascii="Helvetica" w:hAnsi="Helvetica" w:cs="Times"/>
                <w:sz w:val="20"/>
                <w:lang w:val="es-ES"/>
              </w:rPr>
              <w:t>-</w:t>
            </w:r>
          </w:p>
        </w:tc>
      </w:tr>
      <w:tr w:rsidR="004766D3">
        <w:tc>
          <w:tcPr>
            <w:tcW w:w="6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rPr>
                <w:rFonts w:ascii="Helvetica" w:hAnsi="Helvetica" w:cs="Times"/>
                <w:sz w:val="20"/>
                <w:lang w:val="es-ES"/>
              </w:rPr>
            </w:pPr>
            <w:r>
              <w:rPr>
                <w:rFonts w:ascii="Helvetica" w:hAnsi="Helvetica"/>
                <w:sz w:val="20"/>
              </w:rPr>
              <w:t>Water in the asphalt materials by distillation; (% Volume)</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sz w:val="20"/>
                <w:lang w:val="es-ES"/>
              </w:rPr>
            </w:pPr>
            <w:r>
              <w:rPr>
                <w:rFonts w:ascii="Helvetica" w:hAnsi="Helvetica" w:cs="Times"/>
                <w:sz w:val="20"/>
                <w:lang w:val="es-ES"/>
              </w:rPr>
              <w:t>-</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sz w:val="20"/>
                <w:lang w:val="es-ES"/>
              </w:rPr>
            </w:pPr>
            <w:r>
              <w:rPr>
                <w:rFonts w:ascii="Helvetica" w:hAnsi="Helvetica" w:cs="Times"/>
                <w:sz w:val="20"/>
                <w:lang w:val="es-ES"/>
              </w:rPr>
              <w:t>0,35</w:t>
            </w:r>
          </w:p>
        </w:tc>
      </w:tr>
      <w:tr w:rsidR="004766D3">
        <w:tc>
          <w:tcPr>
            <w:tcW w:w="6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rPr>
                <w:rFonts w:ascii="Helvetica" w:hAnsi="Helvetica" w:cs="Times"/>
                <w:sz w:val="20"/>
                <w:lang w:val="es-ES"/>
              </w:rPr>
            </w:pPr>
            <w:r>
              <w:rPr>
                <w:rFonts w:ascii="Helvetica" w:hAnsi="Helvetica"/>
                <w:sz w:val="20"/>
              </w:rPr>
              <w:t>Solubility of the asphalt materials in trichloroethylene; (% weight)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sz w:val="20"/>
                <w:lang w:val="es-ES"/>
              </w:rPr>
            </w:pPr>
            <w:r>
              <w:rPr>
                <w:rFonts w:ascii="Helvetica" w:hAnsi="Helvetica" w:cs="Times"/>
                <w:sz w:val="20"/>
                <w:lang w:val="es-ES"/>
              </w:rPr>
              <w:t>98,5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66D3" w:rsidRDefault="004469AA">
            <w:pPr>
              <w:widowControl w:val="0"/>
              <w:autoSpaceDE w:val="0"/>
              <w:autoSpaceDN w:val="0"/>
              <w:adjustRightInd w:val="0"/>
              <w:jc w:val="center"/>
              <w:rPr>
                <w:rFonts w:ascii="Helvetica" w:hAnsi="Helvetica" w:cs="Times"/>
                <w:sz w:val="20"/>
                <w:lang w:val="es-ES"/>
              </w:rPr>
            </w:pPr>
            <w:r>
              <w:rPr>
                <w:rFonts w:ascii="Helvetica" w:hAnsi="Helvetica" w:cs="Times"/>
                <w:sz w:val="20"/>
                <w:lang w:val="es-ES"/>
              </w:rPr>
              <w:t>-</w:t>
            </w:r>
          </w:p>
        </w:tc>
      </w:tr>
    </w:tbl>
    <w:p w:rsidR="004766D3" w:rsidRDefault="004766D3">
      <w:pPr>
        <w:rPr>
          <w:rFonts w:ascii="Helvetica" w:hAnsi="Helvetica"/>
          <w:sz w:val="22"/>
        </w:rPr>
      </w:pPr>
    </w:p>
    <w:p w:rsidR="004766D3" w:rsidRDefault="004469AA">
      <w:pPr>
        <w:jc w:val="both"/>
        <w:rPr>
          <w:rFonts w:ascii="Helvetica" w:hAnsi="Helvetica"/>
          <w:b/>
          <w:sz w:val="22"/>
          <w:lang w:val="en-GB"/>
        </w:rPr>
      </w:pPr>
      <w:r>
        <w:rPr>
          <w:rFonts w:ascii="Helvetica" w:hAnsi="Helvetica"/>
          <w:b/>
          <w:sz w:val="22"/>
          <w:lang w:val="en-GB"/>
        </w:rPr>
        <w:t>LOGISTICS</w:t>
      </w:r>
    </w:p>
    <w:p w:rsidR="004766D3" w:rsidRDefault="004469AA">
      <w:pPr>
        <w:jc w:val="both"/>
        <w:rPr>
          <w:rFonts w:ascii="Helvetica" w:hAnsi="Helvetica"/>
          <w:sz w:val="22"/>
          <w:lang w:val="en-GB"/>
        </w:rPr>
      </w:pPr>
      <w:r>
        <w:rPr>
          <w:rFonts w:ascii="Helvetica" w:hAnsi="Helvetica"/>
          <w:sz w:val="22"/>
          <w:lang w:val="en-GB"/>
        </w:rPr>
        <w:t xml:space="preserve">The transport of the Road Bitumen is done in trucks or tractor-trailers with capacity of 34 tonnes from their point of origin to point of discharge intro port. The Road Bitumen loose density point of origin is </w:t>
      </w:r>
      <w:proofErr w:type="gramStart"/>
      <w:r>
        <w:rPr>
          <w:rFonts w:ascii="Helvetica" w:hAnsi="Helvetica"/>
          <w:sz w:val="22"/>
          <w:lang w:val="en-GB"/>
        </w:rPr>
        <w:t>1.7 t/m3</w:t>
      </w:r>
      <w:proofErr w:type="gramEnd"/>
      <w:r>
        <w:rPr>
          <w:rFonts w:ascii="Helvetica" w:hAnsi="Helvetica"/>
          <w:sz w:val="22"/>
          <w:lang w:val="en-GB"/>
        </w:rPr>
        <w:t xml:space="preserve"> and stowage factor is 0.58 bac/</w:t>
      </w:r>
      <w:proofErr w:type="spellStart"/>
      <w:r>
        <w:rPr>
          <w:rFonts w:ascii="Helvetica" w:hAnsi="Helvetica"/>
          <w:sz w:val="22"/>
          <w:lang w:val="en-GB"/>
        </w:rPr>
        <w:t>mton</w:t>
      </w:r>
      <w:proofErr w:type="spellEnd"/>
      <w:r>
        <w:rPr>
          <w:rFonts w:ascii="Helvetica" w:hAnsi="Helvetica"/>
          <w:sz w:val="22"/>
          <w:lang w:val="en-GB"/>
        </w:rPr>
        <w:t xml:space="preserve"> approx. </w:t>
      </w:r>
    </w:p>
    <w:p w:rsidR="004766D3" w:rsidRDefault="004469AA">
      <w:pPr>
        <w:jc w:val="both"/>
        <w:rPr>
          <w:rFonts w:ascii="Helvetica" w:hAnsi="Helvetica"/>
          <w:sz w:val="22"/>
          <w:lang w:val="en-GB"/>
        </w:rPr>
      </w:pPr>
      <w:r>
        <w:rPr>
          <w:rFonts w:ascii="Helvetica" w:hAnsi="Helvetica"/>
          <w:sz w:val="22"/>
          <w:lang w:val="en-GB"/>
        </w:rPr>
        <w:t>Once the product is downloaded in port, remain in storage until complete required tons of material available for packing inside the ship, for destination of the buyer. The process of sale of Road Bitumen ends for WELT MINERAL COLOMBIA S.A.S. when the product is put in the ship in Colombian Port. The marine transport from Colombian Port to final destination port corresponds or is to charge to the buyer.</w:t>
      </w:r>
    </w:p>
    <w:p w:rsidR="004766D3" w:rsidRDefault="004766D3">
      <w:pPr>
        <w:jc w:val="both"/>
        <w:rPr>
          <w:rFonts w:ascii="Helvetica" w:hAnsi="Helvetica"/>
          <w:sz w:val="22"/>
          <w:lang w:val="en-GB"/>
        </w:rPr>
      </w:pPr>
    </w:p>
    <w:p w:rsidR="004766D3" w:rsidRDefault="004469AA">
      <w:pPr>
        <w:jc w:val="both"/>
        <w:rPr>
          <w:rFonts w:ascii="Helvetica" w:hAnsi="Helvetica"/>
          <w:sz w:val="22"/>
          <w:lang w:val="en-GB"/>
        </w:rPr>
      </w:pPr>
      <w:r>
        <w:rPr>
          <w:rFonts w:ascii="Helvetica" w:hAnsi="Helvetica"/>
          <w:b/>
          <w:sz w:val="22"/>
          <w:lang w:val="en-GB"/>
        </w:rPr>
        <w:t>DELIVER:</w:t>
      </w:r>
      <w:r>
        <w:rPr>
          <w:rFonts w:ascii="Helvetica" w:hAnsi="Helvetica"/>
          <w:sz w:val="22"/>
          <w:lang w:val="en-GB"/>
        </w:rPr>
        <w:t xml:space="preserve"> F.O.B. (FREE ON BOARD) in the ship bulk. </w:t>
      </w:r>
    </w:p>
    <w:p w:rsidR="004469AA" w:rsidRDefault="004469AA">
      <w:pPr>
        <w:jc w:val="both"/>
        <w:rPr>
          <w:rFonts w:ascii="Helvetica" w:hAnsi="Helvetica"/>
          <w:sz w:val="22"/>
          <w:lang w:val="en-GB"/>
        </w:rPr>
      </w:pPr>
    </w:p>
    <w:p w:rsidR="004766D3" w:rsidRDefault="004469AA">
      <w:pPr>
        <w:jc w:val="both"/>
        <w:rPr>
          <w:rFonts w:ascii="Helvetica" w:hAnsi="Helvetica"/>
          <w:sz w:val="22"/>
          <w:lang w:val="en-GB"/>
        </w:rPr>
      </w:pPr>
      <w:r>
        <w:rPr>
          <w:rFonts w:ascii="Helvetica" w:hAnsi="Helvetica"/>
          <w:b/>
          <w:sz w:val="22"/>
          <w:lang w:val="es-ES"/>
        </w:rPr>
        <w:t>PORT OF SHIPMENT</w:t>
      </w:r>
      <w:r>
        <w:rPr>
          <w:rFonts w:ascii="Helvetica" w:hAnsi="Helvetica"/>
          <w:sz w:val="22"/>
          <w:lang w:val="es-ES"/>
        </w:rPr>
        <w:t xml:space="preserve">: Port </w:t>
      </w:r>
      <w:r>
        <w:rPr>
          <w:rFonts w:ascii="Helvetica" w:hAnsi="Helvetica"/>
          <w:sz w:val="22"/>
          <w:lang w:val="en-GB"/>
        </w:rPr>
        <w:t>located</w:t>
      </w:r>
      <w:r>
        <w:rPr>
          <w:rFonts w:ascii="Helvetica" w:hAnsi="Helvetica"/>
          <w:sz w:val="22"/>
          <w:lang w:val="es-ES"/>
        </w:rPr>
        <w:t xml:space="preserve"> </w:t>
      </w:r>
      <w:r>
        <w:rPr>
          <w:rFonts w:ascii="Helvetica" w:hAnsi="Helvetica"/>
          <w:sz w:val="22"/>
          <w:lang w:val="en-GB"/>
        </w:rPr>
        <w:t>in Atlantic Ocean – Caribbean Sea, in the northern part of South America or in Pacific Ocean.</w:t>
      </w:r>
    </w:p>
    <w:p w:rsidR="004766D3" w:rsidRDefault="004766D3">
      <w:pPr>
        <w:jc w:val="both"/>
        <w:rPr>
          <w:rFonts w:ascii="Helvetica" w:hAnsi="Helvetica"/>
          <w:sz w:val="22"/>
          <w:lang w:val="en-GB"/>
        </w:rPr>
      </w:pPr>
    </w:p>
    <w:p w:rsidR="004766D3" w:rsidRDefault="004469AA">
      <w:pPr>
        <w:jc w:val="both"/>
        <w:rPr>
          <w:rFonts w:ascii="Helvetica" w:hAnsi="Helvetica"/>
          <w:sz w:val="22"/>
          <w:lang w:val="es-ES"/>
        </w:rPr>
      </w:pPr>
      <w:proofErr w:type="gramStart"/>
      <w:r>
        <w:rPr>
          <w:rFonts w:ascii="Helvetica" w:hAnsi="Helvetica"/>
          <w:b/>
          <w:sz w:val="22"/>
          <w:lang w:val="en-GB"/>
        </w:rPr>
        <w:t>PORT OF DESTINATION</w:t>
      </w:r>
      <w:r>
        <w:rPr>
          <w:rFonts w:ascii="Helvetica" w:hAnsi="Helvetica"/>
          <w:sz w:val="22"/>
          <w:lang w:val="en-GB"/>
        </w:rPr>
        <w:t>: Determined by the buyer.</w:t>
      </w:r>
      <w:proofErr w:type="gramEnd"/>
      <w:r>
        <w:rPr>
          <w:rFonts w:ascii="Helvetica" w:hAnsi="Helvetica"/>
          <w:sz w:val="22"/>
          <w:lang w:val="es-ES"/>
        </w:rPr>
        <w:t xml:space="preserve"> </w:t>
      </w:r>
    </w:p>
    <w:p w:rsidR="004766D3" w:rsidRDefault="004766D3">
      <w:pPr>
        <w:jc w:val="both"/>
        <w:rPr>
          <w:rFonts w:ascii="Helvetica" w:hAnsi="Helvetica"/>
          <w:sz w:val="22"/>
          <w:lang w:val="en-GB"/>
        </w:rPr>
      </w:pPr>
    </w:p>
    <w:p w:rsidR="004766D3" w:rsidRDefault="004469AA">
      <w:pPr>
        <w:jc w:val="both"/>
        <w:rPr>
          <w:rFonts w:ascii="Helvetica" w:hAnsi="Helvetica"/>
          <w:sz w:val="22"/>
          <w:lang w:val="en-GB"/>
        </w:rPr>
      </w:pPr>
      <w:r>
        <w:rPr>
          <w:rFonts w:ascii="Helvetica" w:hAnsi="Helvetica"/>
          <w:b/>
          <w:sz w:val="22"/>
          <w:lang w:val="en-GB"/>
        </w:rPr>
        <w:t>PRICE</w:t>
      </w:r>
      <w:r>
        <w:rPr>
          <w:rFonts w:ascii="Helvetica" w:hAnsi="Helvetica"/>
          <w:sz w:val="22"/>
          <w:lang w:val="en-GB"/>
        </w:rPr>
        <w:t xml:space="preserve">: The selling price is </w:t>
      </w:r>
      <w:r w:rsidR="00606B7D">
        <w:rPr>
          <w:rFonts w:ascii="Helvetica" w:hAnsi="Helvetica"/>
          <w:sz w:val="22"/>
        </w:rPr>
        <w:t>423$</w:t>
      </w:r>
      <w:bookmarkStart w:id="0" w:name="_GoBack"/>
      <w:bookmarkEnd w:id="0"/>
      <w:r w:rsidR="00606B7D">
        <w:rPr>
          <w:rFonts w:ascii="Helvetica" w:hAnsi="Helvetica"/>
          <w:sz w:val="22"/>
        </w:rPr>
        <w:t>USD</w:t>
      </w:r>
      <w:r>
        <w:rPr>
          <w:rFonts w:ascii="Helvetica" w:hAnsi="Helvetica"/>
          <w:sz w:val="22"/>
        </w:rPr>
        <w:t xml:space="preserve"> </w:t>
      </w:r>
      <w:r>
        <w:rPr>
          <w:rFonts w:ascii="Helvetica" w:hAnsi="Helvetica"/>
          <w:sz w:val="22"/>
          <w:lang w:val="en-GB"/>
        </w:rPr>
        <w:t>TONS put in Colombian Port (F.O.B.)</w:t>
      </w:r>
    </w:p>
    <w:p w:rsidR="004766D3" w:rsidRDefault="004469AA">
      <w:pPr>
        <w:jc w:val="both"/>
        <w:rPr>
          <w:rFonts w:ascii="Helvetica" w:hAnsi="Helvetica"/>
          <w:sz w:val="22"/>
          <w:lang w:val="en-GB"/>
        </w:rPr>
      </w:pPr>
      <w:r>
        <w:rPr>
          <w:rFonts w:ascii="Helvetica" w:hAnsi="Helvetica"/>
          <w:b/>
          <w:sz w:val="22"/>
          <w:lang w:val="en-GB"/>
        </w:rPr>
        <w:t>PAYMENT</w:t>
      </w:r>
      <w:r>
        <w:rPr>
          <w:rFonts w:ascii="Helvetica" w:hAnsi="Helvetica"/>
          <w:sz w:val="22"/>
          <w:lang w:val="en-GB"/>
        </w:rPr>
        <w:t xml:space="preserve">: The signing of the contract the buyer will provide a credit letter at sight, irrevocable equal to 100% of the initial order, </w:t>
      </w:r>
      <w:proofErr w:type="gramStart"/>
      <w:r>
        <w:rPr>
          <w:rFonts w:ascii="Helvetica" w:hAnsi="Helvetica"/>
          <w:sz w:val="22"/>
          <w:lang w:val="en-GB"/>
        </w:rPr>
        <w:t>an</w:t>
      </w:r>
      <w:proofErr w:type="gramEnd"/>
      <w:r>
        <w:rPr>
          <w:rFonts w:ascii="Helvetica" w:hAnsi="Helvetica"/>
          <w:sz w:val="22"/>
          <w:lang w:val="en-GB"/>
        </w:rPr>
        <w:t xml:space="preserve"> the same process will apply for the following orders. The credit letter it will be effective for the release of the load in Colombian Port on presentations of documents and BL.</w:t>
      </w:r>
    </w:p>
    <w:p w:rsidR="004766D3" w:rsidRDefault="004469AA">
      <w:pPr>
        <w:jc w:val="both"/>
        <w:rPr>
          <w:rFonts w:ascii="Helvetica" w:hAnsi="Helvetica"/>
          <w:sz w:val="22"/>
          <w:lang w:val="en-GB"/>
        </w:rPr>
      </w:pPr>
      <w:r>
        <w:rPr>
          <w:rFonts w:ascii="Helvetica" w:hAnsi="Helvetica"/>
          <w:sz w:val="22"/>
          <w:lang w:val="en-GB"/>
        </w:rPr>
        <w:t>This offer is valid for 30 days.</w:t>
      </w:r>
    </w:p>
    <w:p w:rsidR="004766D3" w:rsidRDefault="004766D3">
      <w:pPr>
        <w:rPr>
          <w:rFonts w:ascii="Helvetica" w:hAnsi="Helvetica"/>
          <w:sz w:val="22"/>
        </w:rPr>
      </w:pPr>
    </w:p>
    <w:sectPr w:rsidR="004766D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4D"/>
    <w:family w:val="roman"/>
    <w:pitch w:val="default"/>
    <w:sig w:usb0="00000000"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A2CAB"/>
    <w:multiLevelType w:val="multilevel"/>
    <w:tmpl w:val="3A7A2CAB"/>
    <w:lvl w:ilvl="0">
      <w:start w:val="3"/>
      <w:numFmt w:val="bullet"/>
      <w:lvlText w:val="-"/>
      <w:lvlJc w:val="left"/>
      <w:pPr>
        <w:ind w:left="2136" w:hanging="360"/>
      </w:pPr>
      <w:rPr>
        <w:rFonts w:ascii="Calibri" w:eastAsiaTheme="minorHAnsi" w:hAnsi="Calibri" w:cstheme="minorBidi"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1">
    <w:nsid w:val="41245167"/>
    <w:multiLevelType w:val="multilevel"/>
    <w:tmpl w:val="41245167"/>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832A23"/>
    <w:multiLevelType w:val="multilevel"/>
    <w:tmpl w:val="43832A23"/>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MS Mincho"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B20834"/>
    <w:multiLevelType w:val="multilevel"/>
    <w:tmpl w:val="54B20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3563F"/>
    <w:rsid w:val="0043610F"/>
    <w:rsid w:val="004469AA"/>
    <w:rsid w:val="004766D3"/>
    <w:rsid w:val="00606B7D"/>
    <w:rsid w:val="42C35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Mincho" w:hAnsi="Cambria"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Mincho" w:hAnsi="Cambria"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4650</Words>
  <Characters>2651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2017-12-13T08:15:00Z</dcterms:created>
  <dcterms:modified xsi:type="dcterms:W3CDTF">2017-12-13T08:15:00Z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